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53FB" w14:textId="54F5E9AE" w:rsidR="00D6325D" w:rsidRPr="00792444" w:rsidRDefault="004A35FE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 w:rsidRPr="00792444">
        <w:rPr>
          <w:rFonts w:ascii="Times New Roman" w:hAnsi="Times New Roman" w:cs="Times New Roman"/>
          <w:b/>
          <w:bCs/>
        </w:rPr>
        <w:t>Local Business Unit Updates</w:t>
      </w:r>
      <w:r w:rsidR="00320811" w:rsidRPr="00792444">
        <w:rPr>
          <w:rFonts w:ascii="Times New Roman" w:hAnsi="Times New Roman" w:cs="Times New Roman"/>
          <w:b/>
          <w:bCs/>
        </w:rPr>
        <w:t xml:space="preserve"> </w:t>
      </w:r>
      <w:r w:rsidR="00B37185" w:rsidRPr="00792444">
        <w:rPr>
          <w:rFonts w:ascii="Times New Roman" w:hAnsi="Times New Roman" w:cs="Times New Roman"/>
          <w:b/>
          <w:bCs/>
        </w:rPr>
        <w:t xml:space="preserve">Report </w:t>
      </w:r>
      <w:r w:rsidR="00415637" w:rsidRPr="00792444">
        <w:rPr>
          <w:rFonts w:ascii="Times New Roman" w:hAnsi="Times New Roman" w:cs="Times New Roman"/>
          <w:b/>
          <w:bCs/>
        </w:rPr>
        <w:t xml:space="preserve">Template </w:t>
      </w:r>
    </w:p>
    <w:p w14:paraId="76DC8B9C" w14:textId="77777777" w:rsidR="00404E15" w:rsidRPr="00792444" w:rsidRDefault="00404E15" w:rsidP="00687848">
      <w:pPr>
        <w:spacing w:after="0" w:line="252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025"/>
        <w:gridCol w:w="4050"/>
      </w:tblGrid>
      <w:tr w:rsidR="0091210C" w:rsidRPr="00792444" w14:paraId="0671D22F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84FBBB3" w14:textId="05316754" w:rsidR="0091210C" w:rsidRPr="00792444" w:rsidRDefault="0091210C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Name of Supervised Group (“Group”)</w:t>
            </w:r>
          </w:p>
        </w:tc>
        <w:tc>
          <w:tcPr>
            <w:tcW w:w="4050" w:type="dxa"/>
            <w:vAlign w:val="center"/>
          </w:tcPr>
          <w:p w14:paraId="35E0A6F5" w14:textId="77777777" w:rsidR="0091210C" w:rsidRPr="00792444" w:rsidRDefault="0091210C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E15" w:rsidRPr="00792444" w14:paraId="42016F20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157B1C3" w14:textId="50CAEA04" w:rsidR="00404E15" w:rsidRPr="00792444" w:rsidRDefault="00404E15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Name of Designated Insurance Holding Company (</w:t>
            </w:r>
            <w:r w:rsidR="0091210C" w:rsidRPr="00792444">
              <w:rPr>
                <w:rFonts w:ascii="Times New Roman" w:hAnsi="Times New Roman" w:cs="Times New Roman"/>
                <w:b/>
                <w:bCs/>
              </w:rPr>
              <w:t>“</w:t>
            </w:r>
            <w:r w:rsidRPr="00792444">
              <w:rPr>
                <w:rFonts w:ascii="Times New Roman" w:hAnsi="Times New Roman" w:cs="Times New Roman"/>
                <w:b/>
                <w:bCs/>
              </w:rPr>
              <w:t>DIHC</w:t>
            </w:r>
            <w:r w:rsidR="0091210C" w:rsidRPr="00792444">
              <w:rPr>
                <w:rFonts w:ascii="Times New Roman" w:hAnsi="Times New Roman" w:cs="Times New Roman"/>
                <w:b/>
                <w:bCs/>
              </w:rPr>
              <w:t>”</w:t>
            </w:r>
            <w:r w:rsidRPr="00792444">
              <w:rPr>
                <w:rFonts w:ascii="Times New Roman" w:hAnsi="Times New Roman" w:cs="Times New Roman"/>
                <w:b/>
                <w:bCs/>
              </w:rPr>
              <w:t xml:space="preserve">): </w:t>
            </w:r>
          </w:p>
        </w:tc>
        <w:tc>
          <w:tcPr>
            <w:tcW w:w="4050" w:type="dxa"/>
            <w:vAlign w:val="center"/>
          </w:tcPr>
          <w:p w14:paraId="0C4B5B7D" w14:textId="7974675E" w:rsidR="00404E15" w:rsidRPr="00792444" w:rsidRDefault="00404E15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E15" w:rsidRPr="00792444" w14:paraId="26ED5117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C10F89D" w14:textId="58B33A27" w:rsidR="00404E15" w:rsidRPr="00792444" w:rsidRDefault="003D11DC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Submission date: </w:t>
            </w:r>
            <w:r w:rsidR="00404E15" w:rsidRPr="007924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421E7EA5" w14:textId="77777777" w:rsidR="00404E15" w:rsidRPr="00792444" w:rsidRDefault="00404E15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1DC" w:rsidRPr="00792444" w14:paraId="57FE7862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5E32B12" w14:textId="06711935" w:rsidR="003D11DC" w:rsidRPr="00792444" w:rsidRDefault="004A35FE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Reporting date (</w:t>
            </w:r>
            <w:r w:rsidR="005C7803" w:rsidRPr="00792444">
              <w:rPr>
                <w:rFonts w:ascii="Times New Roman" w:hAnsi="Times New Roman" w:cs="Times New Roman"/>
                <w:b/>
                <w:bCs/>
              </w:rPr>
              <w:t>3</w:t>
            </w:r>
            <w:r w:rsidR="001617D1" w:rsidRPr="00792444">
              <w:rPr>
                <w:rFonts w:ascii="Times New Roman" w:hAnsi="Times New Roman" w:cs="Times New Roman"/>
                <w:b/>
                <w:bCs/>
              </w:rPr>
              <w:t>1</w:t>
            </w:r>
            <w:r w:rsidR="005C7803" w:rsidRPr="00792444">
              <w:rPr>
                <w:rFonts w:ascii="Times New Roman" w:hAnsi="Times New Roman" w:cs="Times New Roman"/>
                <w:b/>
                <w:bCs/>
              </w:rPr>
              <w:t xml:space="preserve"> Mar / 30 Jun / 30 Sep / 31 Dec</w:t>
            </w:r>
            <w:r w:rsidRPr="00792444">
              <w:rPr>
                <w:rFonts w:ascii="Times New Roman" w:hAnsi="Times New Roman" w:cs="Times New Roman"/>
                <w:b/>
                <w:bCs/>
              </w:rPr>
              <w:t>)</w:t>
            </w:r>
            <w:r w:rsidR="003D11DC" w:rsidRPr="00792444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050" w:type="dxa"/>
            <w:vAlign w:val="center"/>
          </w:tcPr>
          <w:p w14:paraId="66F8205D" w14:textId="77777777" w:rsidR="003D11DC" w:rsidRPr="00792444" w:rsidRDefault="003D11DC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1BB80E" w14:textId="77777777" w:rsidR="00404E15" w:rsidRPr="00792444" w:rsidRDefault="00404E15" w:rsidP="00687848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289E90DC" w14:textId="7B00E368" w:rsidR="004A35FE" w:rsidRPr="00792444" w:rsidRDefault="004A35FE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>To facilitate regular exchange of information with supervisory college members on key issues related to the Group and local business units</w:t>
      </w:r>
      <w:r w:rsidR="00112985" w:rsidRPr="00792444">
        <w:rPr>
          <w:rFonts w:ascii="Times New Roman" w:hAnsi="Times New Roman" w:cs="Times New Roman"/>
        </w:rPr>
        <w:t xml:space="preserve"> (“LBUs”)</w:t>
      </w:r>
      <w:r w:rsidRPr="00792444">
        <w:rPr>
          <w:rFonts w:ascii="Times New Roman" w:hAnsi="Times New Roman" w:cs="Times New Roman"/>
        </w:rPr>
        <w:t>, the DIHC is required to</w:t>
      </w:r>
      <w:r w:rsidR="00696E95" w:rsidRPr="00792444">
        <w:rPr>
          <w:rFonts w:ascii="Times New Roman" w:hAnsi="Times New Roman" w:cs="Times New Roman"/>
        </w:rPr>
        <w:t xml:space="preserve"> complete </w:t>
      </w:r>
      <w:r w:rsidR="00CE1F99" w:rsidRPr="00792444">
        <w:rPr>
          <w:rFonts w:ascii="Times New Roman" w:hAnsi="Times New Roman" w:cs="Times New Roman"/>
        </w:rPr>
        <w:t>this</w:t>
      </w:r>
      <w:r w:rsidR="00696E95" w:rsidRPr="00792444">
        <w:rPr>
          <w:rFonts w:ascii="Times New Roman" w:hAnsi="Times New Roman" w:cs="Times New Roman"/>
        </w:rPr>
        <w:t xml:space="preserve"> </w:t>
      </w:r>
      <w:r w:rsidRPr="00792444">
        <w:rPr>
          <w:rFonts w:ascii="Times New Roman" w:hAnsi="Times New Roman" w:cs="Times New Roman"/>
        </w:rPr>
        <w:t>Local Business Unit Updates</w:t>
      </w:r>
      <w:r w:rsidR="00112985" w:rsidRPr="00792444">
        <w:rPr>
          <w:rFonts w:ascii="Times New Roman" w:hAnsi="Times New Roman" w:cs="Times New Roman"/>
        </w:rPr>
        <w:t xml:space="preserve"> Report </w:t>
      </w:r>
      <w:r w:rsidRPr="00792444">
        <w:rPr>
          <w:rFonts w:ascii="Times New Roman" w:hAnsi="Times New Roman" w:cs="Times New Roman"/>
        </w:rPr>
        <w:t>Template</w:t>
      </w:r>
      <w:r w:rsidR="00696E95" w:rsidRPr="00792444">
        <w:rPr>
          <w:rFonts w:ascii="Times New Roman" w:hAnsi="Times New Roman" w:cs="Times New Roman"/>
        </w:rPr>
        <w:t xml:space="preserve"> (“LBU Template”)</w:t>
      </w:r>
      <w:r w:rsidR="00CE1F99" w:rsidRPr="00792444">
        <w:rPr>
          <w:rFonts w:ascii="Times New Roman" w:hAnsi="Times New Roman" w:cs="Times New Roman"/>
        </w:rPr>
        <w:t xml:space="preserve"> </w:t>
      </w:r>
      <w:r w:rsidR="005C7803" w:rsidRPr="00792444">
        <w:rPr>
          <w:rFonts w:ascii="Times New Roman" w:hAnsi="Times New Roman" w:cs="Times New Roman"/>
        </w:rPr>
        <w:t>quarterly</w:t>
      </w:r>
      <w:r w:rsidR="00696E95" w:rsidRPr="00792444">
        <w:rPr>
          <w:rFonts w:ascii="Times New Roman" w:hAnsi="Times New Roman" w:cs="Times New Roman"/>
        </w:rPr>
        <w:t xml:space="preserve">.  </w:t>
      </w:r>
      <w:r w:rsidR="004D27E4" w:rsidRPr="00792444">
        <w:rPr>
          <w:rFonts w:ascii="Times New Roman" w:hAnsi="Times New Roman" w:cs="Times New Roman"/>
        </w:rPr>
        <w:t>Unless otherwise agreed</w:t>
      </w:r>
      <w:r w:rsidR="0022528C" w:rsidRPr="00792444">
        <w:rPr>
          <w:rFonts w:ascii="Times New Roman" w:hAnsi="Times New Roman" w:cs="Times New Roman"/>
        </w:rPr>
        <w:t xml:space="preserve"> by the case officers</w:t>
      </w:r>
      <w:r w:rsidR="004D27E4" w:rsidRPr="00792444">
        <w:rPr>
          <w:rFonts w:ascii="Times New Roman" w:hAnsi="Times New Roman" w:cs="Times New Roman"/>
        </w:rPr>
        <w:t>, t</w:t>
      </w:r>
      <w:r w:rsidRPr="00792444">
        <w:rPr>
          <w:rFonts w:ascii="Times New Roman" w:hAnsi="Times New Roman" w:cs="Times New Roman"/>
        </w:rPr>
        <w:t>he</w:t>
      </w:r>
      <w:r w:rsidR="00696E95" w:rsidRPr="00792444">
        <w:rPr>
          <w:rFonts w:ascii="Times New Roman" w:hAnsi="Times New Roman" w:cs="Times New Roman"/>
        </w:rPr>
        <w:t xml:space="preserve"> </w:t>
      </w:r>
      <w:r w:rsidR="00EC7C2E" w:rsidRPr="00792444">
        <w:rPr>
          <w:rFonts w:ascii="Times New Roman" w:hAnsi="Times New Roman" w:cs="Times New Roman"/>
        </w:rPr>
        <w:t xml:space="preserve">report </w:t>
      </w:r>
      <w:r w:rsidRPr="00792444">
        <w:rPr>
          <w:rFonts w:ascii="Times New Roman" w:hAnsi="Times New Roman" w:cs="Times New Roman"/>
        </w:rPr>
        <w:t xml:space="preserve">should be submitted to the </w:t>
      </w:r>
      <w:r w:rsidR="00B37185" w:rsidRPr="00792444">
        <w:rPr>
          <w:rFonts w:ascii="Times New Roman" w:hAnsi="Times New Roman" w:cs="Times New Roman"/>
        </w:rPr>
        <w:t xml:space="preserve">Insurance Authority (the “IA”) </w:t>
      </w:r>
      <w:r w:rsidRPr="00792444">
        <w:rPr>
          <w:rFonts w:ascii="Times New Roman" w:hAnsi="Times New Roman" w:cs="Times New Roman"/>
        </w:rPr>
        <w:t xml:space="preserve">within </w:t>
      </w:r>
      <w:r w:rsidR="0022528C" w:rsidRPr="00792444">
        <w:rPr>
          <w:rFonts w:ascii="Times New Roman" w:hAnsi="Times New Roman" w:cs="Times New Roman"/>
        </w:rPr>
        <w:t>1 month</w:t>
      </w:r>
      <w:r w:rsidRPr="00792444">
        <w:rPr>
          <w:rFonts w:ascii="Times New Roman" w:hAnsi="Times New Roman" w:cs="Times New Roman"/>
        </w:rPr>
        <w:t xml:space="preserve"> after the relevant reporting date.  The completed </w:t>
      </w:r>
      <w:r w:rsidR="00112985" w:rsidRPr="00792444">
        <w:rPr>
          <w:rFonts w:ascii="Times New Roman" w:hAnsi="Times New Roman" w:cs="Times New Roman"/>
        </w:rPr>
        <w:t xml:space="preserve">returns </w:t>
      </w:r>
      <w:r w:rsidR="001617D1" w:rsidRPr="00792444">
        <w:rPr>
          <w:rFonts w:ascii="Times New Roman" w:hAnsi="Times New Roman" w:cs="Times New Roman"/>
        </w:rPr>
        <w:t xml:space="preserve">may </w:t>
      </w:r>
      <w:r w:rsidRPr="00792444">
        <w:rPr>
          <w:rFonts w:ascii="Times New Roman" w:hAnsi="Times New Roman" w:cs="Times New Roman"/>
        </w:rPr>
        <w:t xml:space="preserve">be circulated with the corresponding local regulators for their views and comments, if the corresponding local regulator is a member of the supervisory college of the Group.   </w:t>
      </w:r>
    </w:p>
    <w:p w14:paraId="5954A8AE" w14:textId="77777777" w:rsidR="004A35FE" w:rsidRPr="00792444" w:rsidRDefault="004A35FE" w:rsidP="00687848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46A09E01" w14:textId="7451DECC" w:rsidR="00B214DA" w:rsidRPr="00792444" w:rsidRDefault="00B214DA" w:rsidP="00B214DA">
      <w:pPr>
        <w:spacing w:after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The </w:t>
      </w:r>
      <w:r w:rsidR="00E7201A" w:rsidRPr="00792444">
        <w:rPr>
          <w:rFonts w:ascii="Times New Roman" w:hAnsi="Times New Roman" w:cs="Times New Roman"/>
        </w:rPr>
        <w:t>key person in control function (“</w:t>
      </w:r>
      <w:r w:rsidR="00C07BBE" w:rsidRPr="00792444">
        <w:rPr>
          <w:rFonts w:ascii="Times New Roman" w:hAnsi="Times New Roman" w:cs="Times New Roman"/>
        </w:rPr>
        <w:t>KPIC</w:t>
      </w:r>
      <w:r w:rsidR="00E7201A" w:rsidRPr="00792444">
        <w:rPr>
          <w:rFonts w:ascii="Times New Roman" w:hAnsi="Times New Roman" w:cs="Times New Roman"/>
        </w:rPr>
        <w:t>”)</w:t>
      </w:r>
      <w:r w:rsidR="00C07BBE" w:rsidRPr="00792444">
        <w:rPr>
          <w:rFonts w:ascii="Times New Roman" w:hAnsi="Times New Roman" w:cs="Times New Roman"/>
        </w:rPr>
        <w:t xml:space="preserve"> for risk or compliance of the </w:t>
      </w:r>
      <w:r w:rsidRPr="00792444">
        <w:rPr>
          <w:rFonts w:ascii="Times New Roman" w:hAnsi="Times New Roman" w:cs="Times New Roman"/>
        </w:rPr>
        <w:t xml:space="preserve">DIHC should report matters to the IA </w:t>
      </w:r>
      <w:r w:rsidR="00C07BBE" w:rsidRPr="00792444">
        <w:rPr>
          <w:rFonts w:ascii="Times New Roman" w:hAnsi="Times New Roman" w:cs="Times New Roman"/>
        </w:rPr>
        <w:t xml:space="preserve">based on the KPIC’s day-to-day risk management activities with the LBUs and the KPIC’s risk assessment of the LBUs. </w:t>
      </w:r>
    </w:p>
    <w:p w14:paraId="5040DCD2" w14:textId="77777777" w:rsidR="001617D1" w:rsidRPr="00792444" w:rsidRDefault="001617D1" w:rsidP="00B214DA">
      <w:pPr>
        <w:spacing w:after="0"/>
        <w:jc w:val="both"/>
        <w:rPr>
          <w:rFonts w:ascii="Times New Roman" w:hAnsi="Times New Roman" w:cs="Times New Roman"/>
        </w:rPr>
      </w:pPr>
    </w:p>
    <w:p w14:paraId="6D314292" w14:textId="13833F9A" w:rsidR="00B214DA" w:rsidRPr="00792444" w:rsidRDefault="00B214DA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>This LBU Templat</w:t>
      </w:r>
      <w:r w:rsidR="00EC7C2E" w:rsidRPr="00792444">
        <w:rPr>
          <w:rFonts w:ascii="Times New Roman" w:hAnsi="Times New Roman" w:cs="Times New Roman"/>
        </w:rPr>
        <w:t xml:space="preserve">e </w:t>
      </w:r>
      <w:r w:rsidR="00790F0F" w:rsidRPr="00792444">
        <w:rPr>
          <w:rFonts w:ascii="Times New Roman" w:hAnsi="Times New Roman" w:cs="Times New Roman"/>
        </w:rPr>
        <w:t xml:space="preserve">may </w:t>
      </w:r>
      <w:r w:rsidRPr="00792444">
        <w:rPr>
          <w:rFonts w:ascii="Times New Roman" w:hAnsi="Times New Roman" w:cs="Times New Roman"/>
        </w:rPr>
        <w:t>be updated by the IA from time to time as appropriate.  The IA may seek clarification and request additional documents / information from the DIHC as considered necessary.</w:t>
      </w:r>
      <w:r w:rsidR="0022528C" w:rsidRPr="00792444">
        <w:rPr>
          <w:rFonts w:ascii="Times New Roman" w:hAnsi="Times New Roman" w:cs="Times New Roman"/>
        </w:rPr>
        <w:t xml:space="preserve"> </w:t>
      </w:r>
    </w:p>
    <w:p w14:paraId="5BB0FB3B" w14:textId="47A94676" w:rsidR="00CE1F99" w:rsidRPr="00792444" w:rsidRDefault="00CE1F99" w:rsidP="00792444">
      <w:pPr>
        <w:tabs>
          <w:tab w:val="left" w:pos="8402"/>
        </w:tabs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72E12A" w14:textId="77777777" w:rsidR="00EC7C2E" w:rsidRPr="00792444" w:rsidRDefault="00B3718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  <w:b/>
          <w:bCs/>
          <w:u w:val="single"/>
        </w:rPr>
        <w:t>Section I: L</w:t>
      </w:r>
      <w:r w:rsidR="00CE1F99" w:rsidRPr="00792444">
        <w:rPr>
          <w:rFonts w:ascii="Times New Roman" w:hAnsi="Times New Roman" w:cs="Times New Roman"/>
          <w:b/>
          <w:bCs/>
          <w:u w:val="single"/>
        </w:rPr>
        <w:t xml:space="preserve">ist of relevant </w:t>
      </w:r>
      <w:r w:rsidR="00112985" w:rsidRPr="00792444">
        <w:rPr>
          <w:rFonts w:ascii="Times New Roman" w:hAnsi="Times New Roman" w:cs="Times New Roman"/>
          <w:b/>
          <w:bCs/>
          <w:u w:val="single"/>
        </w:rPr>
        <w:t>LBUs</w:t>
      </w:r>
      <w:r w:rsidR="00112985" w:rsidRPr="00792444">
        <w:rPr>
          <w:rFonts w:ascii="Times New Roman" w:hAnsi="Times New Roman" w:cs="Times New Roman"/>
        </w:rPr>
        <w:t xml:space="preserve"> </w:t>
      </w:r>
    </w:p>
    <w:p w14:paraId="17644B64" w14:textId="34351382" w:rsidR="00B37185" w:rsidRPr="00792444" w:rsidRDefault="0022528C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bookmarkStart w:id="0" w:name="_Hlk199143866"/>
      <w:r w:rsidRPr="00792444">
        <w:rPr>
          <w:rFonts w:ascii="Times New Roman" w:hAnsi="Times New Roman" w:cs="Times New Roman"/>
        </w:rPr>
        <w:t xml:space="preserve">The </w:t>
      </w:r>
      <w:r w:rsidR="00B37185" w:rsidRPr="00792444">
        <w:rPr>
          <w:rFonts w:ascii="Times New Roman" w:hAnsi="Times New Roman" w:cs="Times New Roman"/>
        </w:rPr>
        <w:t xml:space="preserve">report should </w:t>
      </w:r>
      <w:r w:rsidR="00917DDF" w:rsidRPr="00792444">
        <w:rPr>
          <w:rFonts w:ascii="Times New Roman" w:hAnsi="Times New Roman" w:cs="Times New Roman"/>
        </w:rPr>
        <w:t>include</w:t>
      </w:r>
      <w:r w:rsidR="00B37185" w:rsidRPr="00792444">
        <w:rPr>
          <w:rFonts w:ascii="Times New Roman" w:hAnsi="Times New Roman" w:cs="Times New Roman"/>
        </w:rPr>
        <w:t xml:space="preserve"> all</w:t>
      </w:r>
      <w:r w:rsidR="00F54EB8" w:rsidRPr="00792444">
        <w:rPr>
          <w:rFonts w:ascii="Times New Roman" w:hAnsi="Times New Roman" w:cs="Times New Roman"/>
        </w:rPr>
        <w:t xml:space="preserve"> material </w:t>
      </w:r>
      <w:r w:rsidR="00210036" w:rsidRPr="00792444">
        <w:rPr>
          <w:rFonts w:ascii="Times New Roman" w:hAnsi="Times New Roman" w:cs="Times New Roman"/>
        </w:rPr>
        <w:t xml:space="preserve">insurance </w:t>
      </w:r>
      <w:r w:rsidR="00F54EB8" w:rsidRPr="00792444">
        <w:rPr>
          <w:rFonts w:ascii="Times New Roman" w:hAnsi="Times New Roman" w:cs="Times New Roman"/>
        </w:rPr>
        <w:t xml:space="preserve">entities </w:t>
      </w:r>
      <w:r w:rsidR="00917DDF" w:rsidRPr="00792444">
        <w:rPr>
          <w:rFonts w:ascii="Times New Roman" w:hAnsi="Times New Roman" w:cs="Times New Roman"/>
        </w:rPr>
        <w:t xml:space="preserve">contributing more than </w:t>
      </w:r>
      <w:r w:rsidR="00F54EB8" w:rsidRPr="00792444">
        <w:rPr>
          <w:rFonts w:ascii="Times New Roman" w:hAnsi="Times New Roman" w:cs="Times New Roman"/>
        </w:rPr>
        <w:t>5% of the Group’s eligible group capital resources</w:t>
      </w:r>
      <w:r w:rsidR="00917DDF" w:rsidRPr="00792444">
        <w:rPr>
          <w:rFonts w:ascii="Times New Roman" w:hAnsi="Times New Roman" w:cs="Times New Roman"/>
        </w:rPr>
        <w:t xml:space="preserve"> or assets or liabilities</w:t>
      </w:r>
      <w:r w:rsidR="00F75608" w:rsidRPr="00792444">
        <w:rPr>
          <w:rStyle w:val="FootnoteReference"/>
          <w:rFonts w:ascii="Times New Roman" w:hAnsi="Times New Roman" w:cs="Times New Roman"/>
        </w:rPr>
        <w:footnoteReference w:id="2"/>
      </w:r>
      <w:r w:rsidR="00917DDF" w:rsidRPr="00792444">
        <w:rPr>
          <w:rFonts w:ascii="Times New Roman" w:hAnsi="Times New Roman" w:cs="Times New Roman"/>
        </w:rPr>
        <w:t>, and any</w:t>
      </w:r>
      <w:r w:rsidR="00B37185" w:rsidRPr="00792444">
        <w:rPr>
          <w:rFonts w:ascii="Times New Roman" w:hAnsi="Times New Roman" w:cs="Times New Roman"/>
        </w:rPr>
        <w:t xml:space="preserve"> other</w:t>
      </w:r>
      <w:r w:rsidR="00917DDF" w:rsidRPr="00792444">
        <w:rPr>
          <w:rFonts w:ascii="Times New Roman" w:hAnsi="Times New Roman" w:cs="Times New Roman"/>
        </w:rPr>
        <w:t xml:space="preserve"> </w:t>
      </w:r>
      <w:r w:rsidR="00210036" w:rsidRPr="00792444">
        <w:rPr>
          <w:rFonts w:ascii="Times New Roman" w:hAnsi="Times New Roman" w:cs="Times New Roman"/>
        </w:rPr>
        <w:t xml:space="preserve">group </w:t>
      </w:r>
      <w:r w:rsidR="00B37185" w:rsidRPr="00792444">
        <w:rPr>
          <w:rFonts w:ascii="Times New Roman" w:hAnsi="Times New Roman" w:cs="Times New Roman"/>
        </w:rPr>
        <w:t xml:space="preserve">entities with </w:t>
      </w:r>
      <w:r w:rsidR="00AC79BE" w:rsidRPr="00792444">
        <w:rPr>
          <w:rFonts w:ascii="Times New Roman" w:hAnsi="Times New Roman" w:cs="Times New Roman"/>
        </w:rPr>
        <w:t>matters</w:t>
      </w:r>
      <w:r w:rsidR="00B37185" w:rsidRPr="00792444">
        <w:rPr>
          <w:rFonts w:ascii="Times New Roman" w:hAnsi="Times New Roman" w:cs="Times New Roman"/>
        </w:rPr>
        <w:t xml:space="preserve"> and/or developments that should warrant the attention of the IA.  </w:t>
      </w:r>
      <w:bookmarkEnd w:id="0"/>
      <w:r w:rsidR="00CE1F99" w:rsidRPr="00792444">
        <w:rPr>
          <w:rFonts w:ascii="Times New Roman" w:hAnsi="Times New Roman" w:cs="Times New Roman"/>
        </w:rPr>
        <w:t xml:space="preserve">Please list out the relevant </w:t>
      </w:r>
      <w:r w:rsidR="00593657" w:rsidRPr="00792444">
        <w:rPr>
          <w:rFonts w:ascii="Times New Roman" w:hAnsi="Times New Roman" w:cs="Times New Roman"/>
        </w:rPr>
        <w:t>LBUs / business segments</w:t>
      </w:r>
      <w:r w:rsidR="00593657" w:rsidRPr="00792444">
        <w:rPr>
          <w:rStyle w:val="FootnoteReference"/>
          <w:rFonts w:ascii="Times New Roman" w:hAnsi="Times New Roman" w:cs="Times New Roman"/>
        </w:rPr>
        <w:footnoteReference w:id="3"/>
      </w:r>
      <w:r w:rsidR="00593657" w:rsidRPr="00792444">
        <w:rPr>
          <w:rFonts w:ascii="Times New Roman" w:hAnsi="Times New Roman" w:cs="Times New Roman"/>
        </w:rPr>
        <w:t xml:space="preserve"> </w:t>
      </w:r>
      <w:r w:rsidR="00CE1F99" w:rsidRPr="00792444">
        <w:rPr>
          <w:rFonts w:ascii="Times New Roman" w:hAnsi="Times New Roman" w:cs="Times New Roman"/>
        </w:rPr>
        <w:t>below.</w:t>
      </w:r>
    </w:p>
    <w:p w14:paraId="12C527E9" w14:textId="4ABD09BC" w:rsidR="00CE1F99" w:rsidRPr="00792444" w:rsidRDefault="00CE1F99" w:rsidP="00687848">
      <w:pPr>
        <w:pStyle w:val="ListParagraph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[Name of the relevant </w:t>
      </w:r>
      <w:r w:rsidR="00F54EB8" w:rsidRPr="00792444">
        <w:rPr>
          <w:rFonts w:ascii="Times New Roman" w:hAnsi="Times New Roman" w:cs="Times New Roman"/>
        </w:rPr>
        <w:t>LBU</w:t>
      </w:r>
      <w:r w:rsidR="00593657" w:rsidRPr="00792444">
        <w:rPr>
          <w:rFonts w:ascii="Times New Roman" w:hAnsi="Times New Roman" w:cs="Times New Roman"/>
        </w:rPr>
        <w:t xml:space="preserve"> / business segment</w:t>
      </w:r>
      <w:r w:rsidRPr="00792444">
        <w:rPr>
          <w:rFonts w:ascii="Times New Roman" w:hAnsi="Times New Roman" w:cs="Times New Roman"/>
        </w:rPr>
        <w:t xml:space="preserve">] </w:t>
      </w:r>
    </w:p>
    <w:p w14:paraId="1B7FB09F" w14:textId="512B3F26" w:rsidR="00CE1F99" w:rsidRPr="00792444" w:rsidRDefault="00CE1F99" w:rsidP="00687848">
      <w:pPr>
        <w:pStyle w:val="ListParagraph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[Name of the relevant </w:t>
      </w:r>
      <w:r w:rsidR="00593657" w:rsidRPr="00792444">
        <w:rPr>
          <w:rFonts w:ascii="Times New Roman" w:hAnsi="Times New Roman" w:cs="Times New Roman"/>
        </w:rPr>
        <w:t>LBU / business segment</w:t>
      </w:r>
      <w:r w:rsidRPr="00792444">
        <w:rPr>
          <w:rFonts w:ascii="Times New Roman" w:hAnsi="Times New Roman" w:cs="Times New Roman"/>
        </w:rPr>
        <w:t xml:space="preserve">] </w:t>
      </w:r>
    </w:p>
    <w:p w14:paraId="3565219D" w14:textId="2B89BEC3" w:rsidR="00CE1F99" w:rsidRPr="00792444" w:rsidRDefault="00CE1F99" w:rsidP="00687848">
      <w:pPr>
        <w:pStyle w:val="ListParagraph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>[Name of the relevant</w:t>
      </w:r>
      <w:r w:rsidR="00593657" w:rsidRPr="00792444">
        <w:rPr>
          <w:rFonts w:ascii="Times New Roman" w:hAnsi="Times New Roman" w:cs="Times New Roman"/>
        </w:rPr>
        <w:t xml:space="preserve"> LBU / business segment</w:t>
      </w:r>
      <w:r w:rsidRPr="00792444">
        <w:rPr>
          <w:rFonts w:ascii="Times New Roman" w:hAnsi="Times New Roman" w:cs="Times New Roman"/>
        </w:rPr>
        <w:t>]</w:t>
      </w:r>
      <w:r w:rsidR="00613B6C" w:rsidRPr="00792444">
        <w:rPr>
          <w:rFonts w:ascii="Times New Roman" w:hAnsi="Times New Roman" w:cs="Times New Roman"/>
        </w:rPr>
        <w:t xml:space="preserve"> (Please add additional rows, if appropriate)</w:t>
      </w:r>
    </w:p>
    <w:p w14:paraId="76949512" w14:textId="77777777" w:rsidR="0022528C" w:rsidRPr="00792444" w:rsidRDefault="0022528C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6204A0" w14:textId="14705812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92444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B37185" w:rsidRPr="00792444">
        <w:rPr>
          <w:rFonts w:ascii="Times New Roman" w:hAnsi="Times New Roman" w:cs="Times New Roman"/>
          <w:b/>
          <w:bCs/>
          <w:u w:val="single"/>
        </w:rPr>
        <w:t>I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I: </w:t>
      </w:r>
      <w:r w:rsidR="00936E1F" w:rsidRPr="00792444">
        <w:rPr>
          <w:rFonts w:ascii="Times New Roman" w:hAnsi="Times New Roman" w:cs="Times New Roman"/>
          <w:b/>
          <w:bCs/>
          <w:u w:val="single"/>
        </w:rPr>
        <w:t xml:space="preserve">Activity and risk indicators 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015B7443" w14:textId="1290BC9B" w:rsidR="00050C2A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This section intends to collect </w:t>
      </w:r>
      <w:r w:rsidR="00936E1F" w:rsidRPr="00792444">
        <w:rPr>
          <w:rFonts w:ascii="Times New Roman" w:hAnsi="Times New Roman" w:cs="Times New Roman"/>
        </w:rPr>
        <w:t>basic</w:t>
      </w:r>
      <w:r w:rsidR="000F21E8" w:rsidRPr="00792444">
        <w:rPr>
          <w:rFonts w:ascii="Times New Roman" w:hAnsi="Times New Roman" w:cs="Times New Roman"/>
        </w:rPr>
        <w:t xml:space="preserve"> </w:t>
      </w:r>
      <w:r w:rsidR="00936E1F" w:rsidRPr="00792444">
        <w:rPr>
          <w:rFonts w:ascii="Times New Roman" w:hAnsi="Times New Roman" w:cs="Times New Roman"/>
        </w:rPr>
        <w:t>activity and risk</w:t>
      </w:r>
      <w:r w:rsidR="00736345" w:rsidRPr="00792444">
        <w:rPr>
          <w:rFonts w:ascii="Times New Roman" w:hAnsi="Times New Roman" w:cs="Times New Roman"/>
        </w:rPr>
        <w:t xml:space="preserve"> indicators</w:t>
      </w:r>
      <w:r w:rsidR="00050C2A" w:rsidRPr="00792444">
        <w:rPr>
          <w:rFonts w:ascii="Times New Roman" w:hAnsi="Times New Roman" w:cs="Times New Roman"/>
        </w:rPr>
        <w:t xml:space="preserve"> </w:t>
      </w:r>
      <w:r w:rsidRPr="00792444">
        <w:rPr>
          <w:rFonts w:ascii="Times New Roman" w:hAnsi="Times New Roman" w:cs="Times New Roman"/>
        </w:rPr>
        <w:t>of the relevant LBUs</w:t>
      </w:r>
      <w:r w:rsidR="00936E1F" w:rsidRPr="00792444">
        <w:rPr>
          <w:rFonts w:ascii="Times New Roman" w:hAnsi="Times New Roman" w:cs="Times New Roman"/>
        </w:rPr>
        <w:t xml:space="preserve">.  Please provide the following </w:t>
      </w:r>
      <w:r w:rsidR="00593657" w:rsidRPr="00792444">
        <w:rPr>
          <w:rFonts w:ascii="Times New Roman" w:hAnsi="Times New Roman" w:cs="Times New Roman"/>
        </w:rPr>
        <w:t>metric(s)</w:t>
      </w:r>
      <w:r w:rsidR="00936E1F" w:rsidRPr="00792444">
        <w:rPr>
          <w:rFonts w:ascii="Times New Roman" w:hAnsi="Times New Roman" w:cs="Times New Roman"/>
        </w:rPr>
        <w:t xml:space="preserve"> of the relevant LBUs by completing the</w:t>
      </w:r>
      <w:r w:rsidR="00EE14CE" w:rsidRPr="00792444">
        <w:rPr>
          <w:rFonts w:ascii="Times New Roman" w:hAnsi="Times New Roman" w:cs="Times New Roman"/>
        </w:rPr>
        <w:t xml:space="preserve"> “</w:t>
      </w:r>
      <w:r w:rsidR="00EE14CE" w:rsidRPr="00792444">
        <w:rPr>
          <w:rFonts w:ascii="Times New Roman" w:hAnsi="Times New Roman" w:cs="Times New Roman"/>
          <w:b/>
          <w:bCs/>
        </w:rPr>
        <w:t>LBU Template (Quantitative)</w:t>
      </w:r>
      <w:r w:rsidR="00EE14CE" w:rsidRPr="00792444">
        <w:rPr>
          <w:rFonts w:ascii="Times New Roman" w:hAnsi="Times New Roman" w:cs="Times New Roman"/>
        </w:rPr>
        <w:t xml:space="preserve">” </w:t>
      </w:r>
      <w:r w:rsidR="000D74EB" w:rsidRPr="00792444">
        <w:rPr>
          <w:rFonts w:ascii="Times New Roman" w:hAnsi="Times New Roman" w:cs="Times New Roman"/>
        </w:rPr>
        <w:t>E</w:t>
      </w:r>
      <w:r w:rsidR="00EE14CE" w:rsidRPr="00792444">
        <w:rPr>
          <w:rFonts w:ascii="Times New Roman" w:hAnsi="Times New Roman" w:cs="Times New Roman"/>
        </w:rPr>
        <w:t>xcel file</w:t>
      </w:r>
      <w:r w:rsidR="00936E1F" w:rsidRPr="00792444">
        <w:rPr>
          <w:rFonts w:ascii="Times New Roman" w:hAnsi="Times New Roman" w:cs="Times New Roman"/>
        </w:rPr>
        <w:t>.</w:t>
      </w:r>
      <w:r w:rsidR="00261F3A" w:rsidRPr="00792444">
        <w:rPr>
          <w:rFonts w:ascii="Times New Roman" w:hAnsi="Times New Roman" w:cs="Times New Roman"/>
        </w:rPr>
        <w:t xml:space="preserve">  </w:t>
      </w:r>
      <w:r w:rsidR="00E73248" w:rsidRPr="00792444">
        <w:rPr>
          <w:rFonts w:ascii="Times New Roman" w:hAnsi="Times New Roman" w:cs="Times New Roman"/>
        </w:rPr>
        <w:t>Depending on the risk profile, the IA may request additional indicators to be reported on a regular basis.</w:t>
      </w:r>
    </w:p>
    <w:p w14:paraId="7DA9B91B" w14:textId="6941373C" w:rsidR="00050C2A" w:rsidRPr="00792444" w:rsidRDefault="00050C2A" w:rsidP="00687848">
      <w:pPr>
        <w:pStyle w:val="ListParagraph"/>
        <w:numPr>
          <w:ilvl w:val="0"/>
          <w:numId w:val="13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Gross </w:t>
      </w:r>
      <w:r w:rsidR="000D74EB" w:rsidRPr="00792444">
        <w:rPr>
          <w:rFonts w:ascii="Times New Roman" w:hAnsi="Times New Roman" w:cs="Times New Roman"/>
        </w:rPr>
        <w:t>W</w:t>
      </w:r>
      <w:r w:rsidRPr="00792444">
        <w:rPr>
          <w:rFonts w:ascii="Times New Roman" w:hAnsi="Times New Roman" w:cs="Times New Roman"/>
        </w:rPr>
        <w:t xml:space="preserve">ritten </w:t>
      </w:r>
      <w:r w:rsidR="000D74EB" w:rsidRPr="00792444">
        <w:rPr>
          <w:rFonts w:ascii="Times New Roman" w:hAnsi="Times New Roman" w:cs="Times New Roman"/>
        </w:rPr>
        <w:t>P</w:t>
      </w:r>
      <w:r w:rsidRPr="00792444">
        <w:rPr>
          <w:rFonts w:ascii="Times New Roman" w:hAnsi="Times New Roman" w:cs="Times New Roman"/>
        </w:rPr>
        <w:t xml:space="preserve">remiums </w:t>
      </w:r>
    </w:p>
    <w:p w14:paraId="38C62F36" w14:textId="77777777" w:rsidR="00050C2A" w:rsidRPr="00792444" w:rsidRDefault="00050C2A" w:rsidP="00687848">
      <w:pPr>
        <w:pStyle w:val="ListParagraph"/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</w:p>
    <w:p w14:paraId="1B5B779D" w14:textId="092D89D2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92444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B37185" w:rsidRPr="00792444">
        <w:rPr>
          <w:rFonts w:ascii="Times New Roman" w:hAnsi="Times New Roman" w:cs="Times New Roman"/>
          <w:b/>
          <w:bCs/>
          <w:u w:val="single"/>
        </w:rPr>
        <w:t>III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1617D1" w:rsidRPr="00792444">
        <w:rPr>
          <w:rFonts w:ascii="Times New Roman" w:hAnsi="Times New Roman" w:cs="Times New Roman"/>
          <w:b/>
          <w:bCs/>
          <w:u w:val="single"/>
        </w:rPr>
        <w:t>Qualitative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 components  </w:t>
      </w:r>
    </w:p>
    <w:p w14:paraId="5BC2BF5F" w14:textId="7B4A23A0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This section intends to collect </w:t>
      </w:r>
      <w:r w:rsidR="00050C2A" w:rsidRPr="00792444">
        <w:rPr>
          <w:rFonts w:ascii="Times New Roman" w:hAnsi="Times New Roman" w:cs="Times New Roman"/>
        </w:rPr>
        <w:t>qualitative</w:t>
      </w:r>
      <w:r w:rsidRPr="00792444">
        <w:rPr>
          <w:rFonts w:ascii="Times New Roman" w:hAnsi="Times New Roman" w:cs="Times New Roman"/>
        </w:rPr>
        <w:t xml:space="preserve"> information of the relevant LBUs.  </w:t>
      </w:r>
      <w:r w:rsidR="00112985" w:rsidRPr="00792444">
        <w:rPr>
          <w:rFonts w:ascii="Times New Roman" w:hAnsi="Times New Roman" w:cs="Times New Roman"/>
        </w:rPr>
        <w:t xml:space="preserve">Please </w:t>
      </w:r>
      <w:r w:rsidRPr="00792444">
        <w:rPr>
          <w:rFonts w:ascii="Times New Roman" w:hAnsi="Times New Roman" w:cs="Times New Roman"/>
        </w:rPr>
        <w:t>complete one table for each</w:t>
      </w:r>
      <w:r w:rsidR="000D74EB" w:rsidRPr="00792444">
        <w:rPr>
          <w:rFonts w:ascii="Times New Roman" w:hAnsi="Times New Roman" w:cs="Times New Roman"/>
        </w:rPr>
        <w:t xml:space="preserve"> </w:t>
      </w:r>
      <w:r w:rsidRPr="00792444">
        <w:rPr>
          <w:rFonts w:ascii="Times New Roman" w:hAnsi="Times New Roman" w:cs="Times New Roman"/>
        </w:rPr>
        <w:t>relevant LBU</w:t>
      </w:r>
      <w:r w:rsidR="00925A0F" w:rsidRPr="00792444">
        <w:rPr>
          <w:rFonts w:ascii="Times New Roman" w:hAnsi="Times New Roman" w:cs="Times New Roman"/>
        </w:rPr>
        <w:t xml:space="preserve"> / business segment</w:t>
      </w:r>
      <w:r w:rsidRPr="00792444">
        <w:rPr>
          <w:rFonts w:ascii="Times New Roman" w:hAnsi="Times New Roman" w:cs="Times New Roman"/>
        </w:rPr>
        <w:t xml:space="preserve">.  </w:t>
      </w:r>
      <w:r w:rsidR="00CE1F99" w:rsidRPr="00792444">
        <w:rPr>
          <w:rFonts w:ascii="Times New Roman" w:hAnsi="Times New Roman" w:cs="Times New Roman"/>
        </w:rPr>
        <w:t xml:space="preserve">Please add additional </w:t>
      </w:r>
      <w:r w:rsidR="00936E1F" w:rsidRPr="00792444">
        <w:rPr>
          <w:rFonts w:ascii="Times New Roman" w:hAnsi="Times New Roman" w:cs="Times New Roman"/>
        </w:rPr>
        <w:t>pages</w:t>
      </w:r>
      <w:r w:rsidR="00CE1F99" w:rsidRPr="00792444">
        <w:rPr>
          <w:rFonts w:ascii="Times New Roman" w:hAnsi="Times New Roman" w:cs="Times New Roman"/>
        </w:rPr>
        <w:t xml:space="preserve">, if appropriate.  </w:t>
      </w:r>
    </w:p>
    <w:p w14:paraId="3435EA44" w14:textId="2AA5A6DE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br w:type="page"/>
      </w:r>
    </w:p>
    <w:p w14:paraId="531781B1" w14:textId="3C593019" w:rsidR="00624C8D" w:rsidRPr="00792444" w:rsidRDefault="004A35FE" w:rsidP="00687848">
      <w:pPr>
        <w:pStyle w:val="Heading1"/>
        <w:tabs>
          <w:tab w:val="left" w:pos="7367"/>
        </w:tabs>
        <w:spacing w:after="0" w:line="252" w:lineRule="auto"/>
      </w:pPr>
      <w:r w:rsidRPr="00792444">
        <w:lastRenderedPageBreak/>
        <w:t>LBU</w:t>
      </w:r>
      <w:r w:rsidR="00EE14CE" w:rsidRPr="00792444">
        <w:t xml:space="preserve"> Template (</w:t>
      </w:r>
      <w:r w:rsidR="00F46EC4" w:rsidRPr="00792444">
        <w:t>Qualitative</w:t>
      </w:r>
      <w:r w:rsidR="00EE14CE" w:rsidRPr="00792444">
        <w:t>)</w:t>
      </w:r>
      <w:r w:rsidR="00696E95" w:rsidRPr="00792444">
        <w:rPr>
          <w:u w:val="none"/>
        </w:rPr>
        <w:t xml:space="preserve"> </w:t>
      </w:r>
      <w:r w:rsidR="00D516B9" w:rsidRPr="00792444">
        <w:rPr>
          <w:b w:val="0"/>
          <w:bCs w:val="0"/>
          <w:u w:val="none"/>
        </w:rPr>
        <w:t xml:space="preserve">(Please add additional pages, if appropriate.)   </w:t>
      </w:r>
    </w:p>
    <w:p w14:paraId="05A47DD0" w14:textId="77777777" w:rsidR="004A35FE" w:rsidRPr="00792444" w:rsidRDefault="004A35FE" w:rsidP="00687848">
      <w:pPr>
        <w:spacing w:after="0" w:line="252" w:lineRule="auto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585"/>
        <w:gridCol w:w="5490"/>
      </w:tblGrid>
      <w:tr w:rsidR="004A35FE" w:rsidRPr="00792444" w14:paraId="157F7B37" w14:textId="77777777" w:rsidTr="00593657">
        <w:trPr>
          <w:trHeight w:val="288"/>
        </w:trPr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6EB0D595" w14:textId="6645A509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Name of local business unit (the “LBU”)</w:t>
            </w:r>
            <w:r w:rsidR="00593657" w:rsidRPr="00792444">
              <w:rPr>
                <w:rFonts w:ascii="Times New Roman" w:hAnsi="Times New Roman" w:cs="Times New Roman"/>
                <w:b/>
                <w:bCs/>
              </w:rPr>
              <w:t xml:space="preserve"> / business segment (the “Segment”)</w:t>
            </w:r>
          </w:p>
        </w:tc>
        <w:tc>
          <w:tcPr>
            <w:tcW w:w="5490" w:type="dxa"/>
            <w:vAlign w:val="center"/>
          </w:tcPr>
          <w:p w14:paraId="10FEAEAA" w14:textId="77777777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A35FE" w:rsidRPr="00792444" w14:paraId="2CD4F0E5" w14:textId="77777777" w:rsidTr="00593657">
        <w:trPr>
          <w:trHeight w:val="288"/>
        </w:trPr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78E6C866" w14:textId="00495CE0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Supervisory authority: </w:t>
            </w:r>
          </w:p>
        </w:tc>
        <w:tc>
          <w:tcPr>
            <w:tcW w:w="5490" w:type="dxa"/>
            <w:vAlign w:val="center"/>
          </w:tcPr>
          <w:p w14:paraId="48A2E917" w14:textId="77777777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6AE732BA" w14:textId="77777777" w:rsidR="004A35FE" w:rsidRPr="00792444" w:rsidRDefault="004A35FE" w:rsidP="00687848">
      <w:pPr>
        <w:spacing w:after="0" w:line="252" w:lineRule="auto"/>
        <w:rPr>
          <w:rFonts w:ascii="Times New Roman" w:hAnsi="Times New Roman" w:cs="Times New Roman"/>
        </w:rPr>
      </w:pPr>
    </w:p>
    <w:p w14:paraId="58D7F6AA" w14:textId="55A03B48" w:rsidR="007436C9" w:rsidRPr="00792444" w:rsidRDefault="007436C9" w:rsidP="00687848">
      <w:pPr>
        <w:spacing w:after="0" w:line="252" w:lineRule="auto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Please provide </w:t>
      </w:r>
      <w:r w:rsidR="004A35FE" w:rsidRPr="00792444">
        <w:rPr>
          <w:rFonts w:ascii="Times New Roman" w:hAnsi="Times New Roman" w:cs="Times New Roman"/>
        </w:rPr>
        <w:t xml:space="preserve">a summary of information of the </w:t>
      </w:r>
      <w:r w:rsidR="000E18AB" w:rsidRPr="00792444">
        <w:rPr>
          <w:rFonts w:ascii="Times New Roman" w:hAnsi="Times New Roman" w:cs="Times New Roman"/>
        </w:rPr>
        <w:t xml:space="preserve">above </w:t>
      </w:r>
      <w:r w:rsidR="000D74EB" w:rsidRPr="00792444">
        <w:rPr>
          <w:rFonts w:ascii="Times New Roman" w:hAnsi="Times New Roman" w:cs="Times New Roman"/>
        </w:rPr>
        <w:t>LBU / Segment</w:t>
      </w:r>
      <w:r w:rsidR="004A35FE" w:rsidRPr="00792444">
        <w:rPr>
          <w:rFonts w:ascii="Times New Roman" w:hAnsi="Times New Roman" w:cs="Times New Roman"/>
        </w:rPr>
        <w:t xml:space="preserve">. </w:t>
      </w:r>
    </w:p>
    <w:p w14:paraId="6237D6DA" w14:textId="77777777" w:rsidR="004A35FE" w:rsidRPr="00792444" w:rsidRDefault="004A35FE" w:rsidP="00687848">
      <w:pPr>
        <w:spacing w:after="0" w:line="252" w:lineRule="auto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485"/>
        <w:gridCol w:w="4590"/>
      </w:tblGrid>
      <w:tr w:rsidR="00275BC0" w:rsidRPr="00792444" w14:paraId="10753B70" w14:textId="77777777" w:rsidTr="00344EF1">
        <w:trPr>
          <w:cantSplit/>
          <w:tblHeader/>
        </w:trPr>
        <w:tc>
          <w:tcPr>
            <w:tcW w:w="5485" w:type="dxa"/>
            <w:shd w:val="clear" w:color="auto" w:fill="F2F2F2" w:themeFill="background1" w:themeFillShade="F2"/>
          </w:tcPr>
          <w:p w14:paraId="60E39CD2" w14:textId="723DDCC4" w:rsidR="00275BC0" w:rsidRPr="00792444" w:rsidRDefault="003510C9" w:rsidP="00687848">
            <w:pPr>
              <w:keepLines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Topics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704065F" w14:textId="2B405CC6" w:rsidR="00275BC0" w:rsidRPr="00792444" w:rsidRDefault="00916E55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F97724" w:rsidRPr="00792444" w14:paraId="34DC5043" w14:textId="77777777" w:rsidTr="00344EF1">
        <w:trPr>
          <w:cantSplit/>
          <w:trHeight w:val="1097"/>
        </w:trPr>
        <w:tc>
          <w:tcPr>
            <w:tcW w:w="5485" w:type="dxa"/>
            <w:shd w:val="clear" w:color="auto" w:fill="auto"/>
          </w:tcPr>
          <w:p w14:paraId="11205A52" w14:textId="02C29682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Top risk concerns</w:t>
            </w:r>
            <w:r w:rsidRPr="00792444">
              <w:rPr>
                <w:rFonts w:ascii="Times New Roman" w:hAnsi="Times New Roman" w:cs="Times New Roman"/>
              </w:rPr>
              <w:t xml:space="preserve"> – Note top risk concerns (financial or non-financial) of the LBU</w:t>
            </w:r>
            <w:r w:rsidR="00593657" w:rsidRPr="00792444">
              <w:rPr>
                <w:rFonts w:ascii="Times New Roman" w:hAnsi="Times New Roman" w:cs="Times New Roman"/>
              </w:rPr>
              <w:t xml:space="preserve"> / Segment</w:t>
            </w:r>
            <w:r w:rsidRPr="00792444">
              <w:rPr>
                <w:rFonts w:ascii="Times New Roman" w:hAnsi="Times New Roman" w:cs="Times New Roman"/>
              </w:rPr>
              <w:t xml:space="preserve"> and the relevant risk management and controls.  </w:t>
            </w:r>
          </w:p>
          <w:p w14:paraId="1E1107B1" w14:textId="77777777" w:rsidR="00F97724" w:rsidRPr="00792444" w:rsidRDefault="00F97724" w:rsidP="00687848">
            <w:pPr>
              <w:pStyle w:val="ListParagraph"/>
              <w:keepLines/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  <w:shd w:val="clear" w:color="auto" w:fill="auto"/>
          </w:tcPr>
          <w:p w14:paraId="0E60DBC8" w14:textId="478416C3" w:rsidR="00F97724" w:rsidRPr="00792444" w:rsidRDefault="00F97724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97724" w:rsidRPr="00792444" w14:paraId="1FDFD766" w14:textId="77777777" w:rsidTr="00344EF1">
        <w:trPr>
          <w:cantSplit/>
          <w:trHeight w:val="1088"/>
        </w:trPr>
        <w:tc>
          <w:tcPr>
            <w:tcW w:w="5485" w:type="dxa"/>
            <w:shd w:val="clear" w:color="auto" w:fill="auto"/>
          </w:tcPr>
          <w:p w14:paraId="5ADE5133" w14:textId="4874C306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Emerging risks </w:t>
            </w:r>
            <w:r w:rsidR="00344EF1" w:rsidRPr="00792444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="00F54EB8" w:rsidRPr="00792444">
              <w:rPr>
                <w:rFonts w:ascii="Times New Roman" w:hAnsi="Times New Roman" w:cs="Times New Roman"/>
                <w:b/>
                <w:bCs/>
              </w:rPr>
              <w:t xml:space="preserve">notable </w:t>
            </w:r>
            <w:r w:rsidR="00344EF1" w:rsidRPr="00792444">
              <w:rPr>
                <w:rFonts w:ascii="Times New Roman" w:hAnsi="Times New Roman" w:cs="Times New Roman"/>
                <w:b/>
                <w:bCs/>
              </w:rPr>
              <w:t xml:space="preserve">issues </w:t>
            </w:r>
            <w:r w:rsidRPr="00792444">
              <w:rPr>
                <w:rFonts w:ascii="Times New Roman" w:hAnsi="Times New Roman" w:cs="Times New Roman"/>
              </w:rPr>
              <w:t>–</w:t>
            </w:r>
            <w:r w:rsidR="00917DDF" w:rsidRPr="00792444">
              <w:rPr>
                <w:rFonts w:ascii="Times New Roman" w:hAnsi="Times New Roman" w:cs="Times New Roman"/>
              </w:rPr>
              <w:t xml:space="preserve"> N</w:t>
            </w:r>
            <w:r w:rsidRPr="00792444">
              <w:rPr>
                <w:rFonts w:ascii="Times New Roman" w:hAnsi="Times New Roman" w:cs="Times New Roman"/>
              </w:rPr>
              <w:t xml:space="preserve">ote emerging risks </w:t>
            </w:r>
            <w:r w:rsidR="00344EF1" w:rsidRPr="00792444">
              <w:rPr>
                <w:rFonts w:ascii="Times New Roman" w:hAnsi="Times New Roman" w:cs="Times New Roman"/>
              </w:rPr>
              <w:t>or</w:t>
            </w:r>
            <w:r w:rsidR="00F54EB8" w:rsidRPr="00792444">
              <w:rPr>
                <w:rFonts w:ascii="Times New Roman" w:hAnsi="Times New Roman" w:cs="Times New Roman"/>
              </w:rPr>
              <w:t xml:space="preserve"> notable </w:t>
            </w:r>
            <w:r w:rsidR="00344EF1" w:rsidRPr="00792444">
              <w:rPr>
                <w:rFonts w:ascii="Times New Roman" w:hAnsi="Times New Roman" w:cs="Times New Roman"/>
              </w:rPr>
              <w:t xml:space="preserve">issues </w:t>
            </w:r>
            <w:r w:rsidRPr="00792444">
              <w:rPr>
                <w:rFonts w:ascii="Times New Roman" w:hAnsi="Times New Roman" w:cs="Times New Roman"/>
              </w:rPr>
              <w:t xml:space="preserve">that may have a material impact on the </w:t>
            </w:r>
            <w:r w:rsidR="00593657" w:rsidRPr="00792444">
              <w:rPr>
                <w:rFonts w:ascii="Times New Roman" w:hAnsi="Times New Roman" w:cs="Times New Roman"/>
              </w:rPr>
              <w:t>LBU / Segment</w:t>
            </w:r>
            <w:r w:rsidR="00925A0F" w:rsidRPr="00792444">
              <w:rPr>
                <w:rFonts w:ascii="Times New Roman" w:hAnsi="Times New Roman" w:cs="Times New Roman"/>
              </w:rPr>
              <w:t xml:space="preserve">, </w:t>
            </w:r>
            <w:r w:rsidR="000D74EB" w:rsidRPr="00792444">
              <w:rPr>
                <w:rFonts w:ascii="Times New Roman" w:hAnsi="Times New Roman" w:cs="Times New Roman"/>
              </w:rPr>
              <w:t xml:space="preserve">along with </w:t>
            </w:r>
            <w:r w:rsidRPr="00792444">
              <w:rPr>
                <w:rFonts w:ascii="Times New Roman" w:hAnsi="Times New Roman" w:cs="Times New Roman"/>
              </w:rPr>
              <w:t xml:space="preserve">relevant risk management and controls.    </w:t>
            </w:r>
          </w:p>
          <w:p w14:paraId="63C34C72" w14:textId="3E66CB94" w:rsidR="00F97724" w:rsidRPr="00792444" w:rsidRDefault="00F97724" w:rsidP="00687848">
            <w:pPr>
              <w:pStyle w:val="ListParagraph"/>
              <w:keepLines/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  <w:shd w:val="clear" w:color="auto" w:fill="auto"/>
          </w:tcPr>
          <w:p w14:paraId="56589884" w14:textId="36A3A27D" w:rsidR="00F97724" w:rsidRPr="00792444" w:rsidRDefault="00F97724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97724" w:rsidRPr="00792444" w14:paraId="49BB4D02" w14:textId="77777777" w:rsidTr="00344EF1">
        <w:trPr>
          <w:cantSplit/>
          <w:trHeight w:val="1440"/>
        </w:trPr>
        <w:tc>
          <w:tcPr>
            <w:tcW w:w="5485" w:type="dxa"/>
            <w:shd w:val="clear" w:color="auto" w:fill="auto"/>
          </w:tcPr>
          <w:p w14:paraId="0B348BC9" w14:textId="7B16A255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Material developments and transactions </w:t>
            </w:r>
            <w:r w:rsidRPr="00792444">
              <w:rPr>
                <w:rFonts w:ascii="Times New Roman" w:hAnsi="Times New Roman" w:cs="Times New Roman"/>
              </w:rPr>
              <w:t>– Note material developments (e.g. changes in shareholding structure, changes in senior management or Board, changes in licensing status</w:t>
            </w:r>
            <w:r w:rsidR="00925A0F" w:rsidRPr="00792444">
              <w:rPr>
                <w:rFonts w:ascii="Times New Roman" w:hAnsi="Times New Roman" w:cs="Times New Roman"/>
              </w:rPr>
              <w:t xml:space="preserve"> </w:t>
            </w:r>
            <w:r w:rsidRPr="00792444">
              <w:rPr>
                <w:rFonts w:ascii="Times New Roman" w:hAnsi="Times New Roman" w:cs="Times New Roman"/>
              </w:rPr>
              <w:t>/ conditions, merger and acquisitions, partnership distributions, etc.) and material transactions</w:t>
            </w:r>
            <w:r w:rsidR="00AC79BE" w:rsidRPr="00792444">
              <w:rPr>
                <w:rFonts w:ascii="Times New Roman" w:hAnsi="Times New Roman" w:cs="Times New Roman"/>
              </w:rPr>
              <w:t xml:space="preserve">, </w:t>
            </w:r>
            <w:r w:rsidRPr="00792444">
              <w:rPr>
                <w:rFonts w:ascii="Times New Roman" w:hAnsi="Times New Roman" w:cs="Times New Roman"/>
              </w:rPr>
              <w:t xml:space="preserve">including contractual obligations and amendments, that is reasonably likely to have a material impact on the </w:t>
            </w:r>
            <w:r w:rsidR="00593657" w:rsidRPr="00792444">
              <w:rPr>
                <w:rFonts w:ascii="Times New Roman" w:hAnsi="Times New Roman" w:cs="Times New Roman"/>
              </w:rPr>
              <w:t xml:space="preserve">LBU / Segment </w:t>
            </w:r>
            <w:r w:rsidRPr="00792444">
              <w:rPr>
                <w:rFonts w:ascii="Times New Roman" w:hAnsi="Times New Roman" w:cs="Times New Roman"/>
              </w:rPr>
              <w:t>(e.g. material outsourcing, hedging transactions, reinsurance transactions</w:t>
            </w:r>
            <w:r w:rsidR="00925A0F" w:rsidRPr="00792444">
              <w:rPr>
                <w:rFonts w:ascii="Times New Roman" w:hAnsi="Times New Roman" w:cs="Times New Roman"/>
              </w:rPr>
              <w:t xml:space="preserve">, </w:t>
            </w:r>
            <w:r w:rsidR="000D74EB" w:rsidRPr="00792444">
              <w:rPr>
                <w:rFonts w:ascii="Times New Roman" w:hAnsi="Times New Roman" w:cs="Times New Roman"/>
              </w:rPr>
              <w:t>particularly</w:t>
            </w:r>
            <w:r w:rsidR="00F54EB8" w:rsidRPr="00792444">
              <w:rPr>
                <w:rFonts w:ascii="Times New Roman" w:hAnsi="Times New Roman" w:cs="Times New Roman"/>
              </w:rPr>
              <w:t xml:space="preserve"> all material asset-intensive reinsurance arrangement</w:t>
            </w:r>
            <w:r w:rsidR="00F638C7" w:rsidRPr="00792444">
              <w:rPr>
                <w:rFonts w:ascii="Times New Roman" w:hAnsi="Times New Roman" w:cs="Times New Roman"/>
              </w:rPr>
              <w:t>s</w:t>
            </w:r>
            <w:r w:rsidRPr="00792444">
              <w:rPr>
                <w:rFonts w:ascii="Times New Roman" w:hAnsi="Times New Roman" w:cs="Times New Roman"/>
              </w:rPr>
              <w:t>,</w:t>
            </w:r>
            <w:r w:rsidR="00925A0F" w:rsidRPr="00792444">
              <w:rPr>
                <w:rFonts w:ascii="Times New Roman" w:hAnsi="Times New Roman" w:cs="Times New Roman"/>
              </w:rPr>
              <w:t xml:space="preserve"> and</w:t>
            </w:r>
            <w:r w:rsidRPr="00792444">
              <w:rPr>
                <w:rFonts w:ascii="Times New Roman" w:hAnsi="Times New Roman" w:cs="Times New Roman"/>
              </w:rPr>
              <w:t xml:space="preserve"> investment commitments, etc.).  </w:t>
            </w:r>
          </w:p>
          <w:p w14:paraId="747A0E13" w14:textId="19FF2837" w:rsidR="00590CA0" w:rsidRPr="00792444" w:rsidRDefault="00590CA0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  <w:shd w:val="clear" w:color="auto" w:fill="auto"/>
          </w:tcPr>
          <w:p w14:paraId="097ADEA0" w14:textId="392C1723" w:rsidR="00F97724" w:rsidRPr="00792444" w:rsidRDefault="00F97724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A35FE" w:rsidRPr="00792444" w14:paraId="79C09694" w14:textId="77777777" w:rsidTr="00344EF1">
        <w:trPr>
          <w:cantSplit/>
          <w:trHeight w:val="1440"/>
        </w:trPr>
        <w:tc>
          <w:tcPr>
            <w:tcW w:w="5485" w:type="dxa"/>
            <w:shd w:val="clear" w:color="auto" w:fill="auto"/>
          </w:tcPr>
          <w:p w14:paraId="7C8ECD3D" w14:textId="67C9722D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Material incidents and breaches</w:t>
            </w:r>
            <w:r w:rsidRPr="00792444">
              <w:rPr>
                <w:rFonts w:ascii="Times New Roman" w:hAnsi="Times New Roman" w:cs="Times New Roman"/>
              </w:rPr>
              <w:t xml:space="preserve"> – Note material operational incidents, regulatory breaches, compliance breaches and breaches of the risk appetite.  Please also provide the mitigating actions taken by the </w:t>
            </w:r>
            <w:r w:rsidR="00593657" w:rsidRPr="00792444">
              <w:rPr>
                <w:rFonts w:ascii="Times New Roman" w:hAnsi="Times New Roman" w:cs="Times New Roman"/>
              </w:rPr>
              <w:t xml:space="preserve">LBU / Segment </w:t>
            </w:r>
            <w:r w:rsidRPr="00792444">
              <w:rPr>
                <w:rFonts w:ascii="Times New Roman" w:hAnsi="Times New Roman" w:cs="Times New Roman"/>
              </w:rPr>
              <w:t xml:space="preserve">and/or the Group.  </w:t>
            </w:r>
          </w:p>
          <w:p w14:paraId="4DD7B10A" w14:textId="31073526" w:rsidR="004A35FE" w:rsidRPr="00792444" w:rsidRDefault="004A35FE" w:rsidP="00687848">
            <w:pPr>
              <w:spacing w:line="252" w:lineRule="auto"/>
              <w:ind w:left="-23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  <w:shd w:val="clear" w:color="auto" w:fill="auto"/>
          </w:tcPr>
          <w:p w14:paraId="66AF9A55" w14:textId="47197EAA" w:rsidR="004A35FE" w:rsidRPr="00792444" w:rsidRDefault="004A35FE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A35FE" w:rsidRPr="00687848" w14:paraId="3AB28132" w14:textId="77777777" w:rsidTr="00344EF1">
        <w:trPr>
          <w:cantSplit/>
          <w:trHeight w:val="1440"/>
        </w:trPr>
        <w:tc>
          <w:tcPr>
            <w:tcW w:w="5485" w:type="dxa"/>
            <w:shd w:val="clear" w:color="auto" w:fill="auto"/>
          </w:tcPr>
          <w:p w14:paraId="1DD89BC4" w14:textId="3302CB2F" w:rsidR="004A35FE" w:rsidRPr="00792444" w:rsidRDefault="004A35FE" w:rsidP="00687848">
            <w:pPr>
              <w:pStyle w:val="ListParagraph"/>
              <w:keepLines/>
              <w:numPr>
                <w:ilvl w:val="0"/>
                <w:numId w:val="4"/>
              </w:numPr>
              <w:spacing w:line="252" w:lineRule="auto"/>
              <w:ind w:left="34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Any other matters </w:t>
            </w:r>
            <w:r w:rsidR="00125D65" w:rsidRPr="00792444">
              <w:rPr>
                <w:rFonts w:ascii="Times New Roman" w:hAnsi="Times New Roman" w:cs="Times New Roman"/>
                <w:b/>
                <w:bCs/>
              </w:rPr>
              <w:t>that require the IA’s attention</w:t>
            </w:r>
            <w:r w:rsidR="00C07BBE" w:rsidRPr="0079244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0" w:type="dxa"/>
            <w:shd w:val="clear" w:color="auto" w:fill="auto"/>
          </w:tcPr>
          <w:p w14:paraId="19DC7CF5" w14:textId="381D151A" w:rsidR="004A35FE" w:rsidRPr="00687848" w:rsidRDefault="004A35FE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39BBDC96" w14:textId="077AEAD6" w:rsidR="00696E95" w:rsidRPr="00687848" w:rsidRDefault="00696E95" w:rsidP="00EE14CE">
      <w:pPr>
        <w:spacing w:after="0" w:line="252" w:lineRule="auto"/>
        <w:rPr>
          <w:rFonts w:ascii="Times New Roman" w:hAnsi="Times New Roman" w:cs="Times New Roman"/>
        </w:rPr>
      </w:pPr>
    </w:p>
    <w:sectPr w:rsidR="00696E95" w:rsidRPr="00687848" w:rsidSect="0086413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3D4D" w14:textId="77777777" w:rsidR="00A0533E" w:rsidRDefault="00A0533E" w:rsidP="00B14226">
      <w:pPr>
        <w:spacing w:after="0" w:line="240" w:lineRule="auto"/>
      </w:pPr>
      <w:r>
        <w:separator/>
      </w:r>
    </w:p>
  </w:endnote>
  <w:endnote w:type="continuationSeparator" w:id="0">
    <w:p w14:paraId="64054D8A" w14:textId="77777777" w:rsidR="00A0533E" w:rsidRDefault="00A0533E" w:rsidP="00B14226">
      <w:pPr>
        <w:spacing w:after="0" w:line="240" w:lineRule="auto"/>
      </w:pPr>
      <w:r>
        <w:continuationSeparator/>
      </w:r>
    </w:p>
  </w:endnote>
  <w:endnote w:type="continuationNotice" w:id="1">
    <w:p w14:paraId="5ACD842E" w14:textId="77777777" w:rsidR="00A0533E" w:rsidRDefault="00A05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2532949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C42CDE7" w14:textId="69F692D1" w:rsidR="009C31FE" w:rsidRPr="009C31FE" w:rsidRDefault="009C31FE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C31F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C31F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C31F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05BAD6F" w14:textId="77777777" w:rsidR="009C31FE" w:rsidRDefault="009C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AB7B" w14:textId="77777777" w:rsidR="00A0533E" w:rsidRDefault="00A0533E" w:rsidP="00B14226">
      <w:pPr>
        <w:spacing w:after="0" w:line="240" w:lineRule="auto"/>
      </w:pPr>
      <w:r>
        <w:separator/>
      </w:r>
    </w:p>
  </w:footnote>
  <w:footnote w:type="continuationSeparator" w:id="0">
    <w:p w14:paraId="3C22CA92" w14:textId="77777777" w:rsidR="00A0533E" w:rsidRDefault="00A0533E" w:rsidP="00B14226">
      <w:pPr>
        <w:spacing w:after="0" w:line="240" w:lineRule="auto"/>
      </w:pPr>
      <w:r>
        <w:continuationSeparator/>
      </w:r>
    </w:p>
  </w:footnote>
  <w:footnote w:type="continuationNotice" w:id="1">
    <w:p w14:paraId="3A7BD9AE" w14:textId="77777777" w:rsidR="00A0533E" w:rsidRDefault="00A0533E">
      <w:pPr>
        <w:spacing w:after="0" w:line="240" w:lineRule="auto"/>
      </w:pPr>
    </w:p>
  </w:footnote>
  <w:footnote w:id="2">
    <w:p w14:paraId="7C62807F" w14:textId="6CDEA415" w:rsidR="00F75608" w:rsidRDefault="00F75608">
      <w:pPr>
        <w:pStyle w:val="FootnoteText"/>
        <w:rPr>
          <w:rFonts w:ascii="Times New Roman" w:hAnsi="Times New Roman" w:cs="Times New Roman"/>
        </w:rPr>
      </w:pPr>
      <w:r w:rsidRPr="00792444">
        <w:rPr>
          <w:rStyle w:val="FootnoteReference"/>
        </w:rPr>
        <w:footnoteRef/>
      </w:r>
      <w:r w:rsidRPr="00792444">
        <w:t xml:space="preserve"> </w:t>
      </w:r>
      <w:r w:rsidR="00282653" w:rsidRPr="00792444">
        <w:rPr>
          <w:rFonts w:ascii="Times New Roman" w:hAnsi="Times New Roman" w:cs="Times New Roman"/>
        </w:rPr>
        <w:t xml:space="preserve">This is an annual assessment based on the relevant figures from the latest available </w:t>
      </w:r>
      <w:r w:rsidR="00FA55C5" w:rsidRPr="00792444">
        <w:rPr>
          <w:rFonts w:ascii="Times New Roman" w:hAnsi="Times New Roman" w:cs="Times New Roman"/>
        </w:rPr>
        <w:t xml:space="preserve">specified </w:t>
      </w:r>
      <w:r w:rsidR="00282653" w:rsidRPr="00792444">
        <w:rPr>
          <w:rFonts w:ascii="Times New Roman" w:hAnsi="Times New Roman" w:cs="Times New Roman"/>
        </w:rPr>
        <w:t xml:space="preserve">financial statements </w:t>
      </w:r>
      <w:r w:rsidR="00FA55C5" w:rsidRPr="00792444">
        <w:rPr>
          <w:rFonts w:ascii="Times New Roman" w:hAnsi="Times New Roman" w:cs="Times New Roman"/>
        </w:rPr>
        <w:t>of the Group</w:t>
      </w:r>
      <w:r w:rsidR="00282653" w:rsidRPr="00792444">
        <w:rPr>
          <w:rFonts w:ascii="Times New Roman" w:hAnsi="Times New Roman" w:cs="Times New Roman"/>
        </w:rPr>
        <w:t>.</w:t>
      </w:r>
      <w:r w:rsidR="0022528C" w:rsidRPr="00792444">
        <w:rPr>
          <w:rFonts w:ascii="Times New Roman" w:hAnsi="Times New Roman" w:cs="Times New Roman"/>
        </w:rPr>
        <w:t xml:space="preserve">  The </w:t>
      </w:r>
      <w:r w:rsidR="00FA55C5" w:rsidRPr="00792444">
        <w:rPr>
          <w:rFonts w:ascii="Times New Roman" w:hAnsi="Times New Roman" w:cs="Times New Roman"/>
        </w:rPr>
        <w:t xml:space="preserve">Group </w:t>
      </w:r>
      <w:r w:rsidR="0022528C" w:rsidRPr="00792444">
        <w:rPr>
          <w:rFonts w:ascii="Times New Roman" w:hAnsi="Times New Roman" w:cs="Times New Roman"/>
        </w:rPr>
        <w:t xml:space="preserve">is recommended to confirm the </w:t>
      </w:r>
      <w:r w:rsidR="00F46EC4" w:rsidRPr="00792444">
        <w:rPr>
          <w:rFonts w:ascii="Times New Roman" w:hAnsi="Times New Roman" w:cs="Times New Roman"/>
        </w:rPr>
        <w:t>list of material insurance entities</w:t>
      </w:r>
      <w:r w:rsidR="0022528C" w:rsidRPr="00792444">
        <w:rPr>
          <w:rFonts w:ascii="Times New Roman" w:hAnsi="Times New Roman" w:cs="Times New Roman"/>
        </w:rPr>
        <w:t xml:space="preserve"> with the </w:t>
      </w:r>
      <w:r w:rsidR="00FA55C5" w:rsidRPr="00792444">
        <w:rPr>
          <w:rFonts w:ascii="Times New Roman" w:hAnsi="Times New Roman" w:cs="Times New Roman"/>
        </w:rPr>
        <w:t xml:space="preserve">case officers after </w:t>
      </w:r>
      <w:r w:rsidR="00101C60" w:rsidRPr="00792444">
        <w:rPr>
          <w:rFonts w:ascii="Times New Roman" w:hAnsi="Times New Roman" w:cs="Times New Roman"/>
        </w:rPr>
        <w:t>submitting</w:t>
      </w:r>
      <w:r w:rsidR="00FA55C5" w:rsidRPr="00792444">
        <w:rPr>
          <w:rFonts w:ascii="Times New Roman" w:hAnsi="Times New Roman" w:cs="Times New Roman"/>
        </w:rPr>
        <w:t xml:space="preserve"> its specified financial statements to the IA. </w:t>
      </w:r>
    </w:p>
    <w:p w14:paraId="6B9F6C5A" w14:textId="77777777" w:rsidR="00F75608" w:rsidRDefault="00F75608">
      <w:pPr>
        <w:pStyle w:val="FootnoteText"/>
      </w:pPr>
    </w:p>
  </w:footnote>
  <w:footnote w:id="3">
    <w:p w14:paraId="13CF9BFE" w14:textId="513354BF" w:rsidR="00593657" w:rsidRDefault="00593657">
      <w:pPr>
        <w:pStyle w:val="FootnoteText"/>
        <w:rPr>
          <w:rFonts w:ascii="Times New Roman" w:hAnsi="Times New Roman" w:cs="Times New Roman"/>
        </w:rPr>
      </w:pPr>
      <w:r w:rsidRPr="00593657">
        <w:rPr>
          <w:rStyle w:val="FootnoteReference"/>
          <w:rFonts w:ascii="Times New Roman" w:hAnsi="Times New Roman" w:cs="Times New Roman"/>
        </w:rPr>
        <w:footnoteRef/>
      </w:r>
      <w:r w:rsidRPr="00593657">
        <w:rPr>
          <w:rFonts w:ascii="Times New Roman" w:hAnsi="Times New Roman" w:cs="Times New Roman"/>
        </w:rPr>
        <w:t xml:space="preserve"> The Group may present the information by </w:t>
      </w:r>
      <w:r>
        <w:rPr>
          <w:rFonts w:ascii="Times New Roman" w:hAnsi="Times New Roman" w:cs="Times New Roman"/>
        </w:rPr>
        <w:t>business</w:t>
      </w:r>
      <w:r w:rsidRPr="00593657">
        <w:rPr>
          <w:rFonts w:ascii="Times New Roman" w:hAnsi="Times New Roman" w:cs="Times New Roman"/>
        </w:rPr>
        <w:t xml:space="preserve"> segment</w:t>
      </w:r>
      <w:r>
        <w:rPr>
          <w:rFonts w:ascii="Times New Roman" w:hAnsi="Times New Roman" w:cs="Times New Roman"/>
        </w:rPr>
        <w:t>s instead of by LBUs</w:t>
      </w:r>
      <w:r w:rsidRPr="00593657">
        <w:rPr>
          <w:rFonts w:ascii="Times New Roman" w:hAnsi="Times New Roman" w:cs="Times New Roman"/>
        </w:rPr>
        <w:t>.</w:t>
      </w:r>
      <w:r w:rsidR="006A7492">
        <w:rPr>
          <w:rFonts w:ascii="Times New Roman" w:hAnsi="Times New Roman" w:cs="Times New Roman"/>
        </w:rPr>
        <w:t xml:space="preserve">  </w:t>
      </w:r>
      <w:r w:rsidR="006A7492" w:rsidRPr="006A7492">
        <w:rPr>
          <w:rFonts w:ascii="Times New Roman" w:hAnsi="Times New Roman" w:cs="Times New Roman"/>
        </w:rPr>
        <w:t xml:space="preserve">If the Group opts to use business segments for presentation, please clearly indicate the associated LBU(s) under each </w:t>
      </w:r>
      <w:r w:rsidR="006A7492">
        <w:rPr>
          <w:rFonts w:ascii="Times New Roman" w:hAnsi="Times New Roman" w:cs="Times New Roman"/>
        </w:rPr>
        <w:t xml:space="preserve">business </w:t>
      </w:r>
      <w:r w:rsidR="006A7492" w:rsidRPr="006A7492">
        <w:rPr>
          <w:rFonts w:ascii="Times New Roman" w:hAnsi="Times New Roman" w:cs="Times New Roman"/>
        </w:rPr>
        <w:t>segment.</w:t>
      </w:r>
      <w:r>
        <w:rPr>
          <w:rFonts w:ascii="Times New Roman" w:hAnsi="Times New Roman" w:cs="Times New Roman"/>
        </w:rPr>
        <w:t xml:space="preserve">  </w:t>
      </w:r>
    </w:p>
    <w:p w14:paraId="2508967F" w14:textId="77777777" w:rsidR="000E18AB" w:rsidRDefault="000E18A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01EA" w14:textId="77777777" w:rsidR="00792444" w:rsidRPr="003723AF" w:rsidRDefault="00792444" w:rsidP="00792444">
    <w:pPr>
      <w:pStyle w:val="Header"/>
      <w:rPr>
        <w:sz w:val="20"/>
        <w:szCs w:val="20"/>
      </w:rPr>
    </w:pPr>
    <w:r w:rsidRPr="003723AF">
      <w:rPr>
        <w:rFonts w:ascii="Times New Roman" w:hAnsi="Times New Roman" w:cs="Times New Roman"/>
        <w:sz w:val="20"/>
        <w:szCs w:val="20"/>
      </w:rPr>
      <w:t>Version 1.0 (June 2025)</w:t>
    </w:r>
  </w:p>
  <w:p w14:paraId="2FCAB5E1" w14:textId="44CE6859" w:rsidR="009C31FE" w:rsidRPr="00792444" w:rsidRDefault="009C31FE" w:rsidP="00792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A92"/>
    <w:multiLevelType w:val="hybridMultilevel"/>
    <w:tmpl w:val="FE7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F6C"/>
    <w:multiLevelType w:val="hybridMultilevel"/>
    <w:tmpl w:val="D9B6C246"/>
    <w:lvl w:ilvl="0" w:tplc="06B00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F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656B3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A2C"/>
    <w:multiLevelType w:val="hybridMultilevel"/>
    <w:tmpl w:val="4DF2C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31FA"/>
    <w:multiLevelType w:val="hybridMultilevel"/>
    <w:tmpl w:val="ECF4FC34"/>
    <w:lvl w:ilvl="0" w:tplc="54C45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6304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7BC8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226F"/>
    <w:multiLevelType w:val="hybridMultilevel"/>
    <w:tmpl w:val="ECF4F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31BA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06DC3"/>
    <w:multiLevelType w:val="hybridMultilevel"/>
    <w:tmpl w:val="4CB4E35E"/>
    <w:lvl w:ilvl="0" w:tplc="49EC31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31C67"/>
    <w:multiLevelType w:val="hybridMultilevel"/>
    <w:tmpl w:val="8F50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6264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90239">
    <w:abstractNumId w:val="2"/>
  </w:num>
  <w:num w:numId="2" w16cid:durableId="1598173824">
    <w:abstractNumId w:val="0"/>
  </w:num>
  <w:num w:numId="3" w16cid:durableId="1748529708">
    <w:abstractNumId w:val="4"/>
  </w:num>
  <w:num w:numId="4" w16cid:durableId="1115901734">
    <w:abstractNumId w:val="3"/>
  </w:num>
  <w:num w:numId="5" w16cid:durableId="841432650">
    <w:abstractNumId w:val="11"/>
  </w:num>
  <w:num w:numId="6" w16cid:durableId="509100322">
    <w:abstractNumId w:val="10"/>
  </w:num>
  <w:num w:numId="7" w16cid:durableId="1053307076">
    <w:abstractNumId w:val="1"/>
  </w:num>
  <w:num w:numId="8" w16cid:durableId="5134644">
    <w:abstractNumId w:val="7"/>
  </w:num>
  <w:num w:numId="9" w16cid:durableId="1699890434">
    <w:abstractNumId w:val="9"/>
  </w:num>
  <w:num w:numId="10" w16cid:durableId="1353990813">
    <w:abstractNumId w:val="6"/>
  </w:num>
  <w:num w:numId="11" w16cid:durableId="1699238217">
    <w:abstractNumId w:val="12"/>
  </w:num>
  <w:num w:numId="12" w16cid:durableId="1485707888">
    <w:abstractNumId w:val="5"/>
  </w:num>
  <w:num w:numId="13" w16cid:durableId="743186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2"/>
    <w:rsid w:val="00004755"/>
    <w:rsid w:val="00012DEA"/>
    <w:rsid w:val="00016CF2"/>
    <w:rsid w:val="00032679"/>
    <w:rsid w:val="000358BB"/>
    <w:rsid w:val="000417A9"/>
    <w:rsid w:val="00045239"/>
    <w:rsid w:val="000462AC"/>
    <w:rsid w:val="00050C2A"/>
    <w:rsid w:val="0005564A"/>
    <w:rsid w:val="0005723F"/>
    <w:rsid w:val="00057DF2"/>
    <w:rsid w:val="00057FE6"/>
    <w:rsid w:val="00060FB7"/>
    <w:rsid w:val="000647F3"/>
    <w:rsid w:val="00064EF2"/>
    <w:rsid w:val="00066B53"/>
    <w:rsid w:val="000679D3"/>
    <w:rsid w:val="00067FBF"/>
    <w:rsid w:val="00071BCC"/>
    <w:rsid w:val="0007545C"/>
    <w:rsid w:val="00081CB0"/>
    <w:rsid w:val="000A0D6B"/>
    <w:rsid w:val="000A28EB"/>
    <w:rsid w:val="000B137C"/>
    <w:rsid w:val="000B22B1"/>
    <w:rsid w:val="000C5A5C"/>
    <w:rsid w:val="000C714E"/>
    <w:rsid w:val="000D14B2"/>
    <w:rsid w:val="000D682E"/>
    <w:rsid w:val="000D68FC"/>
    <w:rsid w:val="000D74EB"/>
    <w:rsid w:val="000E065A"/>
    <w:rsid w:val="000E18AB"/>
    <w:rsid w:val="000F054C"/>
    <w:rsid w:val="000F21E8"/>
    <w:rsid w:val="000F37A7"/>
    <w:rsid w:val="00101C60"/>
    <w:rsid w:val="001023A2"/>
    <w:rsid w:val="001028D5"/>
    <w:rsid w:val="00112985"/>
    <w:rsid w:val="00125D65"/>
    <w:rsid w:val="001261C6"/>
    <w:rsid w:val="00127449"/>
    <w:rsid w:val="0014244F"/>
    <w:rsid w:val="00152DF5"/>
    <w:rsid w:val="00155503"/>
    <w:rsid w:val="00157807"/>
    <w:rsid w:val="00160405"/>
    <w:rsid w:val="001617D1"/>
    <w:rsid w:val="0018027B"/>
    <w:rsid w:val="00195C34"/>
    <w:rsid w:val="001A2A01"/>
    <w:rsid w:val="001B31C8"/>
    <w:rsid w:val="001C0AD6"/>
    <w:rsid w:val="001D56AC"/>
    <w:rsid w:val="001F0E40"/>
    <w:rsid w:val="001F1AD6"/>
    <w:rsid w:val="002018F2"/>
    <w:rsid w:val="00202580"/>
    <w:rsid w:val="00206A86"/>
    <w:rsid w:val="00210036"/>
    <w:rsid w:val="002214E9"/>
    <w:rsid w:val="00223587"/>
    <w:rsid w:val="0022528C"/>
    <w:rsid w:val="002360DF"/>
    <w:rsid w:val="00240A09"/>
    <w:rsid w:val="002525FC"/>
    <w:rsid w:val="002559A5"/>
    <w:rsid w:val="00255CCE"/>
    <w:rsid w:val="00261F3A"/>
    <w:rsid w:val="00263C0D"/>
    <w:rsid w:val="00275BC0"/>
    <w:rsid w:val="00282653"/>
    <w:rsid w:val="00283AA5"/>
    <w:rsid w:val="002902BA"/>
    <w:rsid w:val="002975CB"/>
    <w:rsid w:val="002A2C98"/>
    <w:rsid w:val="002B1B7B"/>
    <w:rsid w:val="002C2F03"/>
    <w:rsid w:val="002C3E33"/>
    <w:rsid w:val="002D016D"/>
    <w:rsid w:val="002D2008"/>
    <w:rsid w:val="002D3741"/>
    <w:rsid w:val="002D4029"/>
    <w:rsid w:val="002E2461"/>
    <w:rsid w:val="002F24C4"/>
    <w:rsid w:val="002F6BBD"/>
    <w:rsid w:val="00304902"/>
    <w:rsid w:val="00306D9D"/>
    <w:rsid w:val="003156A2"/>
    <w:rsid w:val="00320811"/>
    <w:rsid w:val="003329D3"/>
    <w:rsid w:val="0034091A"/>
    <w:rsid w:val="003424C5"/>
    <w:rsid w:val="00344EF1"/>
    <w:rsid w:val="003510C9"/>
    <w:rsid w:val="003517DD"/>
    <w:rsid w:val="003555DB"/>
    <w:rsid w:val="00367688"/>
    <w:rsid w:val="00374F54"/>
    <w:rsid w:val="00376852"/>
    <w:rsid w:val="00385DC0"/>
    <w:rsid w:val="0039422F"/>
    <w:rsid w:val="00396BC4"/>
    <w:rsid w:val="003A3659"/>
    <w:rsid w:val="003A5185"/>
    <w:rsid w:val="003A540D"/>
    <w:rsid w:val="003A5FF5"/>
    <w:rsid w:val="003A6E95"/>
    <w:rsid w:val="003B31C9"/>
    <w:rsid w:val="003D11DC"/>
    <w:rsid w:val="003D2D9B"/>
    <w:rsid w:val="003D3D6F"/>
    <w:rsid w:val="003D62C2"/>
    <w:rsid w:val="003D6891"/>
    <w:rsid w:val="003E0C65"/>
    <w:rsid w:val="003E389D"/>
    <w:rsid w:val="003E4AD7"/>
    <w:rsid w:val="003F224D"/>
    <w:rsid w:val="00404E15"/>
    <w:rsid w:val="00410ABE"/>
    <w:rsid w:val="00415637"/>
    <w:rsid w:val="00423927"/>
    <w:rsid w:val="004320F0"/>
    <w:rsid w:val="004347C9"/>
    <w:rsid w:val="00435113"/>
    <w:rsid w:val="0043758F"/>
    <w:rsid w:val="004502C2"/>
    <w:rsid w:val="00451EC5"/>
    <w:rsid w:val="0045427E"/>
    <w:rsid w:val="004625E8"/>
    <w:rsid w:val="004626E3"/>
    <w:rsid w:val="00462947"/>
    <w:rsid w:val="0046459A"/>
    <w:rsid w:val="004825FD"/>
    <w:rsid w:val="00482A8F"/>
    <w:rsid w:val="0048524F"/>
    <w:rsid w:val="00493F27"/>
    <w:rsid w:val="00493F8A"/>
    <w:rsid w:val="004957D3"/>
    <w:rsid w:val="004A1305"/>
    <w:rsid w:val="004A35FE"/>
    <w:rsid w:val="004B369F"/>
    <w:rsid w:val="004B6AEC"/>
    <w:rsid w:val="004C7541"/>
    <w:rsid w:val="004D0773"/>
    <w:rsid w:val="004D27E4"/>
    <w:rsid w:val="004D46FF"/>
    <w:rsid w:val="004D6402"/>
    <w:rsid w:val="00500046"/>
    <w:rsid w:val="00506DD8"/>
    <w:rsid w:val="00506FBF"/>
    <w:rsid w:val="00507691"/>
    <w:rsid w:val="00522304"/>
    <w:rsid w:val="0052264B"/>
    <w:rsid w:val="00522C79"/>
    <w:rsid w:val="00541A11"/>
    <w:rsid w:val="00543997"/>
    <w:rsid w:val="0054687E"/>
    <w:rsid w:val="0056634B"/>
    <w:rsid w:val="00571C5D"/>
    <w:rsid w:val="005809B5"/>
    <w:rsid w:val="00581FC2"/>
    <w:rsid w:val="00584133"/>
    <w:rsid w:val="00584CBB"/>
    <w:rsid w:val="00590666"/>
    <w:rsid w:val="005906E0"/>
    <w:rsid w:val="00590CA0"/>
    <w:rsid w:val="00593657"/>
    <w:rsid w:val="005A0053"/>
    <w:rsid w:val="005B0BDE"/>
    <w:rsid w:val="005B134E"/>
    <w:rsid w:val="005B1478"/>
    <w:rsid w:val="005B68F2"/>
    <w:rsid w:val="005C2D72"/>
    <w:rsid w:val="005C7803"/>
    <w:rsid w:val="005E38E6"/>
    <w:rsid w:val="005F1C30"/>
    <w:rsid w:val="005F3BFC"/>
    <w:rsid w:val="00604A86"/>
    <w:rsid w:val="0061330A"/>
    <w:rsid w:val="00613B6C"/>
    <w:rsid w:val="00622C79"/>
    <w:rsid w:val="00624C8D"/>
    <w:rsid w:val="00631F7F"/>
    <w:rsid w:val="00635276"/>
    <w:rsid w:val="00635822"/>
    <w:rsid w:val="00655A4C"/>
    <w:rsid w:val="00655C57"/>
    <w:rsid w:val="00672EAC"/>
    <w:rsid w:val="00677242"/>
    <w:rsid w:val="00686864"/>
    <w:rsid w:val="00687848"/>
    <w:rsid w:val="006953D6"/>
    <w:rsid w:val="00696E95"/>
    <w:rsid w:val="006A7492"/>
    <w:rsid w:val="006B5B1A"/>
    <w:rsid w:val="006C72D3"/>
    <w:rsid w:val="006E3456"/>
    <w:rsid w:val="006F3BEA"/>
    <w:rsid w:val="00716F8B"/>
    <w:rsid w:val="00734F75"/>
    <w:rsid w:val="00736345"/>
    <w:rsid w:val="00736824"/>
    <w:rsid w:val="007402F5"/>
    <w:rsid w:val="007436C9"/>
    <w:rsid w:val="00750DFE"/>
    <w:rsid w:val="00754C9A"/>
    <w:rsid w:val="0075667B"/>
    <w:rsid w:val="007605C0"/>
    <w:rsid w:val="00762390"/>
    <w:rsid w:val="00771A19"/>
    <w:rsid w:val="00790F0F"/>
    <w:rsid w:val="00792444"/>
    <w:rsid w:val="00794310"/>
    <w:rsid w:val="00794B90"/>
    <w:rsid w:val="00796DFA"/>
    <w:rsid w:val="007A1551"/>
    <w:rsid w:val="007A4CE6"/>
    <w:rsid w:val="007B6AE5"/>
    <w:rsid w:val="007C209E"/>
    <w:rsid w:val="007C3778"/>
    <w:rsid w:val="007C6782"/>
    <w:rsid w:val="007D079F"/>
    <w:rsid w:val="007D1EA8"/>
    <w:rsid w:val="007E4A7E"/>
    <w:rsid w:val="007E7265"/>
    <w:rsid w:val="007F59AD"/>
    <w:rsid w:val="007F789D"/>
    <w:rsid w:val="00801B2C"/>
    <w:rsid w:val="00814535"/>
    <w:rsid w:val="00820D60"/>
    <w:rsid w:val="00827703"/>
    <w:rsid w:val="00832285"/>
    <w:rsid w:val="00836179"/>
    <w:rsid w:val="008417FC"/>
    <w:rsid w:val="0084626F"/>
    <w:rsid w:val="00852707"/>
    <w:rsid w:val="0086413C"/>
    <w:rsid w:val="00867544"/>
    <w:rsid w:val="008706CF"/>
    <w:rsid w:val="00881B0E"/>
    <w:rsid w:val="008929B9"/>
    <w:rsid w:val="008953C2"/>
    <w:rsid w:val="00895CFE"/>
    <w:rsid w:val="008A1A44"/>
    <w:rsid w:val="008A7677"/>
    <w:rsid w:val="008B19E3"/>
    <w:rsid w:val="008B552F"/>
    <w:rsid w:val="008C07B0"/>
    <w:rsid w:val="008C5FD2"/>
    <w:rsid w:val="008D622C"/>
    <w:rsid w:val="008D7D40"/>
    <w:rsid w:val="008E07F5"/>
    <w:rsid w:val="008F6AF9"/>
    <w:rsid w:val="009021F5"/>
    <w:rsid w:val="0090744D"/>
    <w:rsid w:val="00910DD5"/>
    <w:rsid w:val="0091210C"/>
    <w:rsid w:val="00916E55"/>
    <w:rsid w:val="00917DDF"/>
    <w:rsid w:val="0092069B"/>
    <w:rsid w:val="00924777"/>
    <w:rsid w:val="00925A0F"/>
    <w:rsid w:val="00936E1F"/>
    <w:rsid w:val="00937802"/>
    <w:rsid w:val="009428E6"/>
    <w:rsid w:val="00943D98"/>
    <w:rsid w:val="009447E7"/>
    <w:rsid w:val="009449D3"/>
    <w:rsid w:val="00951F4D"/>
    <w:rsid w:val="0095602D"/>
    <w:rsid w:val="0096151F"/>
    <w:rsid w:val="0096177C"/>
    <w:rsid w:val="00964BB1"/>
    <w:rsid w:val="00973050"/>
    <w:rsid w:val="0097680A"/>
    <w:rsid w:val="0098278B"/>
    <w:rsid w:val="00982E9A"/>
    <w:rsid w:val="00985816"/>
    <w:rsid w:val="009973D5"/>
    <w:rsid w:val="009A720B"/>
    <w:rsid w:val="009B63B4"/>
    <w:rsid w:val="009C31FE"/>
    <w:rsid w:val="009C6E3A"/>
    <w:rsid w:val="009C7E8F"/>
    <w:rsid w:val="009D4337"/>
    <w:rsid w:val="009D514D"/>
    <w:rsid w:val="009E7EA7"/>
    <w:rsid w:val="009F1E2D"/>
    <w:rsid w:val="009F2C5F"/>
    <w:rsid w:val="00A02EF7"/>
    <w:rsid w:val="00A03C1A"/>
    <w:rsid w:val="00A04B15"/>
    <w:rsid w:val="00A0533E"/>
    <w:rsid w:val="00A153B4"/>
    <w:rsid w:val="00A24FF5"/>
    <w:rsid w:val="00A273D4"/>
    <w:rsid w:val="00A33AA6"/>
    <w:rsid w:val="00A75BB0"/>
    <w:rsid w:val="00A77E1B"/>
    <w:rsid w:val="00A86713"/>
    <w:rsid w:val="00A946F9"/>
    <w:rsid w:val="00AB00CD"/>
    <w:rsid w:val="00AC7738"/>
    <w:rsid w:val="00AC79BE"/>
    <w:rsid w:val="00AD3B25"/>
    <w:rsid w:val="00AE4266"/>
    <w:rsid w:val="00AF4376"/>
    <w:rsid w:val="00AF4437"/>
    <w:rsid w:val="00AF663F"/>
    <w:rsid w:val="00B06725"/>
    <w:rsid w:val="00B073D0"/>
    <w:rsid w:val="00B13953"/>
    <w:rsid w:val="00B14226"/>
    <w:rsid w:val="00B214DA"/>
    <w:rsid w:val="00B21D05"/>
    <w:rsid w:val="00B2318F"/>
    <w:rsid w:val="00B24487"/>
    <w:rsid w:val="00B37185"/>
    <w:rsid w:val="00B443AB"/>
    <w:rsid w:val="00B44D51"/>
    <w:rsid w:val="00B47E01"/>
    <w:rsid w:val="00B53FC9"/>
    <w:rsid w:val="00B55AFF"/>
    <w:rsid w:val="00B564A7"/>
    <w:rsid w:val="00B57A33"/>
    <w:rsid w:val="00B6628C"/>
    <w:rsid w:val="00B67583"/>
    <w:rsid w:val="00B8023F"/>
    <w:rsid w:val="00BD4271"/>
    <w:rsid w:val="00BD74A3"/>
    <w:rsid w:val="00BE1523"/>
    <w:rsid w:val="00BE1C15"/>
    <w:rsid w:val="00BE3C8D"/>
    <w:rsid w:val="00BE4201"/>
    <w:rsid w:val="00BE5588"/>
    <w:rsid w:val="00C07BBE"/>
    <w:rsid w:val="00C129CC"/>
    <w:rsid w:val="00C148CE"/>
    <w:rsid w:val="00C162E2"/>
    <w:rsid w:val="00C200C2"/>
    <w:rsid w:val="00C35A66"/>
    <w:rsid w:val="00C44EBF"/>
    <w:rsid w:val="00C45E9C"/>
    <w:rsid w:val="00C561B5"/>
    <w:rsid w:val="00C576F6"/>
    <w:rsid w:val="00C61FBD"/>
    <w:rsid w:val="00C65D48"/>
    <w:rsid w:val="00C65F2A"/>
    <w:rsid w:val="00C66872"/>
    <w:rsid w:val="00C77E19"/>
    <w:rsid w:val="00C87766"/>
    <w:rsid w:val="00C93517"/>
    <w:rsid w:val="00CB004F"/>
    <w:rsid w:val="00CB5D6E"/>
    <w:rsid w:val="00CC1615"/>
    <w:rsid w:val="00CD63B3"/>
    <w:rsid w:val="00CD7ABA"/>
    <w:rsid w:val="00CE1896"/>
    <w:rsid w:val="00CE1F99"/>
    <w:rsid w:val="00CE275A"/>
    <w:rsid w:val="00CF0A76"/>
    <w:rsid w:val="00CF0F56"/>
    <w:rsid w:val="00D07215"/>
    <w:rsid w:val="00D11744"/>
    <w:rsid w:val="00D25193"/>
    <w:rsid w:val="00D33BED"/>
    <w:rsid w:val="00D41B48"/>
    <w:rsid w:val="00D426CC"/>
    <w:rsid w:val="00D4353C"/>
    <w:rsid w:val="00D4732B"/>
    <w:rsid w:val="00D516B9"/>
    <w:rsid w:val="00D5450F"/>
    <w:rsid w:val="00D572A6"/>
    <w:rsid w:val="00D60AD1"/>
    <w:rsid w:val="00D62069"/>
    <w:rsid w:val="00D6325D"/>
    <w:rsid w:val="00D634FF"/>
    <w:rsid w:val="00D651CB"/>
    <w:rsid w:val="00D91DF5"/>
    <w:rsid w:val="00D91F42"/>
    <w:rsid w:val="00D92AF5"/>
    <w:rsid w:val="00D93EA1"/>
    <w:rsid w:val="00DA2FEF"/>
    <w:rsid w:val="00DB2650"/>
    <w:rsid w:val="00DC4176"/>
    <w:rsid w:val="00DC44CC"/>
    <w:rsid w:val="00DD54AD"/>
    <w:rsid w:val="00DD5B47"/>
    <w:rsid w:val="00DE69B1"/>
    <w:rsid w:val="00E0066F"/>
    <w:rsid w:val="00E110B3"/>
    <w:rsid w:val="00E12F2A"/>
    <w:rsid w:val="00E15619"/>
    <w:rsid w:val="00E17BFD"/>
    <w:rsid w:val="00E23AB7"/>
    <w:rsid w:val="00E25269"/>
    <w:rsid w:val="00E33AE3"/>
    <w:rsid w:val="00E33BBD"/>
    <w:rsid w:val="00E40324"/>
    <w:rsid w:val="00E53814"/>
    <w:rsid w:val="00E566B6"/>
    <w:rsid w:val="00E60EA0"/>
    <w:rsid w:val="00E7201A"/>
    <w:rsid w:val="00E73248"/>
    <w:rsid w:val="00E73952"/>
    <w:rsid w:val="00E74DE1"/>
    <w:rsid w:val="00E76F24"/>
    <w:rsid w:val="00E85AEB"/>
    <w:rsid w:val="00E93191"/>
    <w:rsid w:val="00E940C1"/>
    <w:rsid w:val="00EA0623"/>
    <w:rsid w:val="00EA0DE9"/>
    <w:rsid w:val="00EA7880"/>
    <w:rsid w:val="00EB77A9"/>
    <w:rsid w:val="00EB7AE6"/>
    <w:rsid w:val="00EC431C"/>
    <w:rsid w:val="00EC7C2E"/>
    <w:rsid w:val="00EE14CE"/>
    <w:rsid w:val="00EE67B6"/>
    <w:rsid w:val="00EF62DF"/>
    <w:rsid w:val="00F016BE"/>
    <w:rsid w:val="00F059BE"/>
    <w:rsid w:val="00F25666"/>
    <w:rsid w:val="00F32D8A"/>
    <w:rsid w:val="00F36185"/>
    <w:rsid w:val="00F367C2"/>
    <w:rsid w:val="00F4348C"/>
    <w:rsid w:val="00F469BD"/>
    <w:rsid w:val="00F46EC4"/>
    <w:rsid w:val="00F51704"/>
    <w:rsid w:val="00F54EB8"/>
    <w:rsid w:val="00F603D1"/>
    <w:rsid w:val="00F62FD3"/>
    <w:rsid w:val="00F638C7"/>
    <w:rsid w:val="00F65835"/>
    <w:rsid w:val="00F65E65"/>
    <w:rsid w:val="00F75608"/>
    <w:rsid w:val="00F76241"/>
    <w:rsid w:val="00F773C8"/>
    <w:rsid w:val="00F77AE5"/>
    <w:rsid w:val="00F97724"/>
    <w:rsid w:val="00FA55C5"/>
    <w:rsid w:val="00FB730A"/>
    <w:rsid w:val="00FC29E9"/>
    <w:rsid w:val="00FC45CF"/>
    <w:rsid w:val="00FC569B"/>
    <w:rsid w:val="00FD2B05"/>
    <w:rsid w:val="00FD3573"/>
    <w:rsid w:val="00FD43EF"/>
    <w:rsid w:val="00FD7682"/>
    <w:rsid w:val="00FD7C3E"/>
    <w:rsid w:val="00FD7CF3"/>
    <w:rsid w:val="00FE6386"/>
    <w:rsid w:val="00FF0C2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0A40"/>
  <w15:docId w15:val="{E7823509-D803-42C6-90D2-E7A57CE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95"/>
  </w:style>
  <w:style w:type="paragraph" w:styleId="Heading1">
    <w:name w:val="heading 1"/>
    <w:basedOn w:val="Normal"/>
    <w:next w:val="Normal"/>
    <w:link w:val="Heading1Char"/>
    <w:uiPriority w:val="9"/>
    <w:qFormat/>
    <w:rsid w:val="00BE1523"/>
    <w:pPr>
      <w:snapToGrid w:val="0"/>
      <w:outlineLvl w:val="0"/>
    </w:pPr>
    <w:rPr>
      <w:rFonts w:ascii="Times New Roman" w:hAnsi="Times New Roman"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523"/>
    <w:pPr>
      <w:spacing w:after="0"/>
      <w:outlineLvl w:val="1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42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2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811"/>
  </w:style>
  <w:style w:type="paragraph" w:styleId="Footer">
    <w:name w:val="footer"/>
    <w:basedOn w:val="Normal"/>
    <w:link w:val="Foot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811"/>
  </w:style>
  <w:style w:type="character" w:styleId="CommentReference">
    <w:name w:val="annotation reference"/>
    <w:basedOn w:val="DefaultParagraphFont"/>
    <w:uiPriority w:val="99"/>
    <w:semiHidden/>
    <w:unhideWhenUsed/>
    <w:rsid w:val="007F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9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1523"/>
    <w:rPr>
      <w:rFonts w:ascii="Times New Roman" w:hAnsi="Times New Roman" w:cs="Times New Roman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523"/>
    <w:rPr>
      <w:rFonts w:ascii="Times New Roman" w:hAnsi="Times New Roman" w:cs="Times New Roman"/>
      <w:b/>
      <w:bCs/>
      <w:u w:val="single"/>
    </w:rPr>
  </w:style>
  <w:style w:type="paragraph" w:styleId="Revision">
    <w:name w:val="Revision"/>
    <w:hidden/>
    <w:uiPriority w:val="99"/>
    <w:semiHidden/>
    <w:rsid w:val="00F76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1B0D-FF2C-4EFA-B143-65E3A911BF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d7a360-373d-4f0f-a5e6-337a9cd89c09}" enabled="1" method="Privileged" siteId="{5d96486e-6acf-4e0d-b0bd-e0ae81edc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HM Nelson-Edwards</dc:creator>
  <cp:keywords/>
  <dc:description/>
  <cp:lastModifiedBy>Insurance Authority </cp:lastModifiedBy>
  <cp:revision>2</cp:revision>
  <cp:lastPrinted>2025-01-17T01:26:00Z</cp:lastPrinted>
  <dcterms:created xsi:type="dcterms:W3CDTF">2025-06-04T00:23:00Z</dcterms:created>
  <dcterms:modified xsi:type="dcterms:W3CDTF">2025-06-04T00:23:00Z</dcterms:modified>
</cp:coreProperties>
</file>